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9" w:type="dxa"/>
        <w:tblInd w:w="108" w:type="dxa"/>
        <w:tblBorders>
          <w:top w:val="thinThickLargeGap" w:sz="24" w:space="0" w:color="18622F"/>
          <w:left w:val="thinThickLargeGap" w:sz="24" w:space="0" w:color="18622F"/>
          <w:bottom w:val="thinThickLargeGap" w:sz="24" w:space="0" w:color="18622F"/>
          <w:right w:val="thinThickLargeGap" w:sz="24" w:space="0" w:color="18622F"/>
          <w:insideH w:val="thinThickLargeGap" w:sz="24" w:space="0" w:color="18622F"/>
          <w:insideV w:val="thinThickLargeGap" w:sz="24" w:space="0" w:color="18622F"/>
        </w:tblBorders>
        <w:tblLook w:val="04A0" w:firstRow="1" w:lastRow="0" w:firstColumn="1" w:lastColumn="0" w:noHBand="0" w:noVBand="1"/>
      </w:tblPr>
      <w:tblGrid>
        <w:gridCol w:w="1472"/>
        <w:gridCol w:w="7131"/>
        <w:gridCol w:w="2226"/>
      </w:tblGrid>
      <w:tr w:rsidR="0014551D" w:rsidTr="003B5140">
        <w:trPr>
          <w:trHeight w:val="2050"/>
        </w:trPr>
        <w:tc>
          <w:tcPr>
            <w:tcW w:w="1472" w:type="dxa"/>
            <w:vAlign w:val="bottom"/>
          </w:tcPr>
          <w:p w:rsidR="009C1536" w:rsidRDefault="009C1536" w:rsidP="001E3E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8000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6B8E7" wp14:editId="72404976">
                  <wp:extent cx="420897" cy="507061"/>
                  <wp:effectExtent l="19050" t="0" r="0" b="0"/>
                  <wp:docPr id="4" name="Picture 1" descr="cross-ver-bb-sml-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-ver-bb-sml-1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75" cy="50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62B" w:rsidRDefault="00A1362B" w:rsidP="00A1362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8622F"/>
                <w:sz w:val="12"/>
                <w:szCs w:val="12"/>
              </w:rPr>
            </w:pPr>
            <w:r>
              <w:rPr>
                <w:rFonts w:cs="Arial"/>
                <w:color w:val="18622F"/>
                <w:sz w:val="12"/>
                <w:szCs w:val="12"/>
              </w:rPr>
              <w:t xml:space="preserve">Produced by </w:t>
            </w:r>
            <w:r w:rsidR="009C1536" w:rsidRPr="000644AF">
              <w:rPr>
                <w:rFonts w:cs="Arial"/>
                <w:color w:val="18622F"/>
                <w:sz w:val="12"/>
                <w:szCs w:val="12"/>
              </w:rPr>
              <w:t>the</w:t>
            </w:r>
          </w:p>
          <w:p w:rsidR="009C1536" w:rsidRPr="000644AF" w:rsidRDefault="009C1536" w:rsidP="00A1362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8622F"/>
                <w:sz w:val="12"/>
                <w:szCs w:val="12"/>
              </w:rPr>
            </w:pPr>
            <w:r w:rsidRPr="000644AF">
              <w:rPr>
                <w:rFonts w:cs="Arial"/>
                <w:color w:val="18622F"/>
                <w:sz w:val="12"/>
                <w:szCs w:val="12"/>
              </w:rPr>
              <w:t xml:space="preserve"> NHS Rotherham</w:t>
            </w:r>
            <w:r w:rsidR="00A94973">
              <w:rPr>
                <w:rFonts w:cs="Arial"/>
                <w:color w:val="18622F"/>
                <w:sz w:val="12"/>
                <w:szCs w:val="12"/>
              </w:rPr>
              <w:t xml:space="preserve"> CCG</w:t>
            </w:r>
          </w:p>
          <w:p w:rsidR="009C1536" w:rsidRPr="000644AF" w:rsidRDefault="009C1536" w:rsidP="001E3E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8622F"/>
                <w:sz w:val="12"/>
                <w:szCs w:val="12"/>
              </w:rPr>
            </w:pPr>
            <w:r w:rsidRPr="000644AF">
              <w:rPr>
                <w:rFonts w:cs="Arial"/>
                <w:color w:val="18622F"/>
                <w:sz w:val="12"/>
                <w:szCs w:val="12"/>
              </w:rPr>
              <w:t>Medicines Management Team</w:t>
            </w:r>
          </w:p>
          <w:p w:rsidR="009C1536" w:rsidRPr="000644AF" w:rsidRDefault="009C1536" w:rsidP="001E3E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8622F"/>
                <w:sz w:val="12"/>
                <w:szCs w:val="12"/>
              </w:rPr>
            </w:pPr>
            <w:r w:rsidRPr="000644AF">
              <w:rPr>
                <w:rFonts w:cs="Arial"/>
                <w:color w:val="18622F"/>
                <w:sz w:val="12"/>
                <w:szCs w:val="12"/>
              </w:rPr>
              <w:t>Tel (01709) 302639 if further</w:t>
            </w:r>
          </w:p>
          <w:p w:rsidR="009C1536" w:rsidRPr="000644AF" w:rsidRDefault="009C1536" w:rsidP="001E3E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8622F"/>
                <w:sz w:val="12"/>
                <w:szCs w:val="12"/>
              </w:rPr>
            </w:pPr>
            <w:r w:rsidRPr="000644AF">
              <w:rPr>
                <w:rFonts w:cs="Arial"/>
                <w:color w:val="18622F"/>
                <w:sz w:val="12"/>
                <w:szCs w:val="12"/>
              </w:rPr>
              <w:t xml:space="preserve">information </w:t>
            </w:r>
            <w:r w:rsidR="00C65FE2">
              <w:rPr>
                <w:rFonts w:cs="Arial"/>
                <w:color w:val="18622F"/>
                <w:sz w:val="12"/>
                <w:szCs w:val="12"/>
              </w:rPr>
              <w:t xml:space="preserve">is </w:t>
            </w:r>
            <w:r w:rsidRPr="000644AF">
              <w:rPr>
                <w:rFonts w:cs="Arial"/>
                <w:color w:val="18622F"/>
                <w:sz w:val="12"/>
                <w:szCs w:val="12"/>
              </w:rPr>
              <w:t>required.</w:t>
            </w:r>
          </w:p>
          <w:p w:rsidR="0014551D" w:rsidRDefault="0014551D" w:rsidP="001E3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1" w:type="dxa"/>
            <w:vAlign w:val="center"/>
          </w:tcPr>
          <w:p w:rsidR="0014551D" w:rsidRDefault="00735320" w:rsidP="002D231E">
            <w:pPr>
              <w:jc w:val="center"/>
            </w:pPr>
            <w:r>
              <w:rPr>
                <w:color w:val="008000"/>
                <w:sz w:val="48"/>
                <w:szCs w:val="4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40.9pt;height:91.75pt" fillcolor="#99f" strokecolor="#627830" strokeweight="1.5pt">
                  <v:fill color2="#099" focus="100%" type="gradient"/>
                  <v:shadow on="t" color="silver" opacity="52429f" offset="3pt,3pt"/>
                  <v:textpath style="font-family:&quot;Times New Roman&quot;;font-size:20pt;v-text-spacing:58985f;v-text-kern:t" trim="t" fitpath="t" xscale="f" string="Bite Size Prescribing News&#10;January 2017&#10;"/>
                </v:shape>
              </w:pict>
            </w:r>
          </w:p>
        </w:tc>
        <w:tc>
          <w:tcPr>
            <w:tcW w:w="2226" w:type="dxa"/>
            <w:vAlign w:val="center"/>
          </w:tcPr>
          <w:p w:rsidR="0014551D" w:rsidRDefault="003B5140" w:rsidP="002D23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4F2203" wp14:editId="21D8A788">
                  <wp:extent cx="1268083" cy="1112808"/>
                  <wp:effectExtent l="0" t="0" r="8890" b="0"/>
                  <wp:docPr id="7" name="Picture 7" descr="R:\Templates\RCCG_Full_Col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Templates\RCCG_Full_Col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75" cy="111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1CA" w:rsidRDefault="001201CA" w:rsidP="009C1536">
      <w:pPr>
        <w:sectPr w:rsidR="001201CA" w:rsidSect="00B066FE">
          <w:pgSz w:w="11906" w:h="16838"/>
          <w:pgMar w:top="567" w:right="567" w:bottom="567" w:left="567" w:header="709" w:footer="709" w:gutter="0"/>
          <w:pgBorders w:offsetFrom="page">
            <w:top w:val="thinThickSmallGap" w:sz="24" w:space="24" w:color="00682F"/>
            <w:left w:val="thinThickSmallGap" w:sz="24" w:space="24" w:color="00682F"/>
            <w:bottom w:val="thickThinSmallGap" w:sz="24" w:space="24" w:color="00682F"/>
            <w:right w:val="thickThinSmallGap" w:sz="24" w:space="24" w:color="00682F"/>
          </w:pgBorders>
          <w:cols w:space="708"/>
          <w:docGrid w:linePitch="360"/>
        </w:sectPr>
      </w:pPr>
    </w:p>
    <w:p w:rsidR="00376B7D" w:rsidRDefault="0079006A" w:rsidP="009C153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F665" wp14:editId="7DCC6B63">
                <wp:simplePos x="0" y="0"/>
                <wp:positionH relativeFrom="column">
                  <wp:posOffset>35560</wp:posOffset>
                </wp:positionH>
                <wp:positionV relativeFrom="paragraph">
                  <wp:posOffset>33380</wp:posOffset>
                </wp:positionV>
                <wp:extent cx="6738357" cy="1457864"/>
                <wp:effectExtent l="19050" t="19050" r="247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357" cy="145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A7" w:rsidRPr="00956E8D" w:rsidRDefault="00EF60A7" w:rsidP="00EF60A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56E8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Antibiotics</w:t>
                            </w:r>
                          </w:p>
                          <w:p w:rsidR="00EF60A7" w:rsidRPr="000E08CE" w:rsidRDefault="00EF60A7" w:rsidP="00EF60A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>An update</w:t>
                            </w:r>
                            <w:r w:rsidR="008F148E">
                              <w:rPr>
                                <w:rFonts w:asciiTheme="minorHAnsi" w:hAnsiTheme="minorHAnsi" w:cstheme="minorHAnsi"/>
                              </w:rPr>
                              <w:t>d version of the joint CCG/TRFT</w:t>
                            </w:r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> Antimicrobial protocol for the Management of Infection in Primary Care is now on the CCG internet site (</w:t>
                            </w:r>
                            <w:hyperlink r:id="rId9" w:anchor="Infections" w:history="1">
                              <w:r w:rsidRPr="000E08CE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http://www.rotherhamccg.nhs.uk/therapeutic-guidelines.htm#Infections</w:t>
                              </w:r>
                            </w:hyperlink>
                            <w:r w:rsidR="00E63497" w:rsidRPr="000E08CE">
                              <w:rPr>
                                <w:rFonts w:asciiTheme="minorHAnsi" w:hAnsiTheme="minorHAnsi" w:cstheme="minorHAnsi"/>
                              </w:rPr>
                              <w:t>). Alongside this protocol</w:t>
                            </w:r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 on the site is the document showing arrangements for the access to antimicrobials for community-based patients with </w:t>
                            </w:r>
                            <w:r w:rsidR="00606FA0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nfections in whom </w:t>
                            </w:r>
                            <w:proofErr w:type="spellStart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>Fosfomycin</w:t>
                            </w:r>
                            <w:proofErr w:type="spellEnd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, Linezolid, </w:t>
                            </w:r>
                            <w:proofErr w:type="spellStart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>Tedizolid</w:t>
                            </w:r>
                            <w:proofErr w:type="spellEnd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 or </w:t>
                            </w:r>
                            <w:proofErr w:type="spellStart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>Fidaxomycin</w:t>
                            </w:r>
                            <w:proofErr w:type="spellEnd"/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 are the only treatment options.</w:t>
                            </w:r>
                          </w:p>
                          <w:p w:rsidR="00EF60A7" w:rsidRPr="000E08CE" w:rsidRDefault="00EF60A7" w:rsidP="00EF60A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E08CE">
                              <w:rPr>
                                <w:rFonts w:asciiTheme="minorHAnsi" w:hAnsiTheme="minorHAnsi" w:cstheme="minorHAnsi"/>
                              </w:rPr>
                              <w:t xml:space="preserve">The overall use of antibiotics across the CCG is still high and all prescribers are reminded to </w:t>
                            </w:r>
                            <w:r w:rsidRPr="00606FA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</w:rPr>
                              <w:t>only use antibiotics when absolutely necessary.</w:t>
                            </w:r>
                          </w:p>
                          <w:p w:rsidR="00EF60A7" w:rsidRDefault="00EF6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.65pt;width:530.6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" strokecolor="#5f497a [2407]" strokeweight="2.5pt">
                <v:textbox>
                  <w:txbxContent>
                    <w:p w:rsidR="00EF60A7" w:rsidRPr="00956E8D" w:rsidRDefault="00EF60A7" w:rsidP="00EF60A7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56E8D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Antibiotics</w:t>
                      </w:r>
                    </w:p>
                    <w:p w:rsidR="00EF60A7" w:rsidRPr="000E08CE" w:rsidRDefault="00EF60A7" w:rsidP="00EF60A7">
                      <w:pPr>
                        <w:pStyle w:val="PlainText"/>
                        <w:rPr>
                          <w:rFonts w:asciiTheme="minorHAnsi" w:hAnsiTheme="minorHAnsi" w:cstheme="minorHAnsi"/>
                        </w:rPr>
                      </w:pPr>
                      <w:r w:rsidRPr="000E08CE">
                        <w:rPr>
                          <w:rFonts w:asciiTheme="minorHAnsi" w:hAnsiTheme="minorHAnsi" w:cstheme="minorHAnsi"/>
                        </w:rPr>
                        <w:t>An update</w:t>
                      </w:r>
                      <w:r w:rsidR="008F148E">
                        <w:rPr>
                          <w:rFonts w:asciiTheme="minorHAnsi" w:hAnsiTheme="minorHAnsi" w:cstheme="minorHAnsi"/>
                        </w:rPr>
                        <w:t>d version of the joint CCG/TRFT</w:t>
                      </w:r>
                      <w:r w:rsidRPr="000E08CE">
                        <w:rPr>
                          <w:rFonts w:asciiTheme="minorHAnsi" w:hAnsiTheme="minorHAnsi" w:cstheme="minorHAnsi"/>
                        </w:rPr>
                        <w:t> Antimicrobial protocol for the Management of Infection in Primary Care is now on the CCG internet site (</w:t>
                      </w:r>
                      <w:hyperlink r:id="rId10" w:anchor="Infections" w:history="1">
                        <w:r w:rsidRPr="000E08CE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http://www.rotherhamccg.nhs.uk/therapeutic-guidelines.htm#Infections</w:t>
                        </w:r>
                      </w:hyperlink>
                      <w:r w:rsidR="00E63497" w:rsidRPr="000E08CE">
                        <w:rPr>
                          <w:rFonts w:asciiTheme="minorHAnsi" w:hAnsiTheme="minorHAnsi" w:cstheme="minorHAnsi"/>
                        </w:rPr>
                        <w:t>). Alongside this protocol</w:t>
                      </w:r>
                      <w:r w:rsidRPr="000E08CE">
                        <w:rPr>
                          <w:rFonts w:asciiTheme="minorHAnsi" w:hAnsiTheme="minorHAnsi" w:cstheme="minorHAnsi"/>
                        </w:rPr>
                        <w:t xml:space="preserve"> on the site is the document showing arrangements for the access to antimicrobials for community-based patients with </w:t>
                      </w:r>
                      <w:r w:rsidR="00606FA0"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0E08CE">
                        <w:rPr>
                          <w:rFonts w:asciiTheme="minorHAnsi" w:hAnsiTheme="minorHAnsi" w:cstheme="minorHAnsi"/>
                        </w:rPr>
                        <w:t xml:space="preserve">nfections in whom </w:t>
                      </w:r>
                      <w:proofErr w:type="spellStart"/>
                      <w:r w:rsidRPr="000E08CE">
                        <w:rPr>
                          <w:rFonts w:asciiTheme="minorHAnsi" w:hAnsiTheme="minorHAnsi" w:cstheme="minorHAnsi"/>
                        </w:rPr>
                        <w:t>Fosfomycin</w:t>
                      </w:r>
                      <w:proofErr w:type="spellEnd"/>
                      <w:r w:rsidRPr="000E08CE">
                        <w:rPr>
                          <w:rFonts w:asciiTheme="minorHAnsi" w:hAnsiTheme="minorHAnsi" w:cstheme="minorHAnsi"/>
                        </w:rPr>
                        <w:t xml:space="preserve">, Linezolid, </w:t>
                      </w:r>
                      <w:proofErr w:type="spellStart"/>
                      <w:r w:rsidRPr="000E08CE">
                        <w:rPr>
                          <w:rFonts w:asciiTheme="minorHAnsi" w:hAnsiTheme="minorHAnsi" w:cstheme="minorHAnsi"/>
                        </w:rPr>
                        <w:t>Tedizolid</w:t>
                      </w:r>
                      <w:proofErr w:type="spellEnd"/>
                      <w:r w:rsidRPr="000E08CE">
                        <w:rPr>
                          <w:rFonts w:asciiTheme="minorHAnsi" w:hAnsiTheme="minorHAnsi" w:cstheme="minorHAnsi"/>
                        </w:rPr>
                        <w:t xml:space="preserve"> or </w:t>
                      </w:r>
                      <w:proofErr w:type="spellStart"/>
                      <w:r w:rsidRPr="000E08CE">
                        <w:rPr>
                          <w:rFonts w:asciiTheme="minorHAnsi" w:hAnsiTheme="minorHAnsi" w:cstheme="minorHAnsi"/>
                        </w:rPr>
                        <w:t>Fidaxomycin</w:t>
                      </w:r>
                      <w:proofErr w:type="spellEnd"/>
                      <w:r w:rsidRPr="000E08CE">
                        <w:rPr>
                          <w:rFonts w:asciiTheme="minorHAnsi" w:hAnsiTheme="minorHAnsi" w:cstheme="minorHAnsi"/>
                        </w:rPr>
                        <w:t xml:space="preserve"> are the only treatment options.</w:t>
                      </w:r>
                    </w:p>
                    <w:p w:rsidR="00EF60A7" w:rsidRPr="000E08CE" w:rsidRDefault="00EF60A7" w:rsidP="00EF60A7">
                      <w:pPr>
                        <w:pStyle w:val="PlainText"/>
                        <w:rPr>
                          <w:rFonts w:asciiTheme="minorHAnsi" w:hAnsiTheme="minorHAnsi" w:cstheme="minorHAnsi"/>
                        </w:rPr>
                      </w:pPr>
                      <w:r w:rsidRPr="000E08CE">
                        <w:rPr>
                          <w:rFonts w:asciiTheme="minorHAnsi" w:hAnsiTheme="minorHAnsi" w:cstheme="minorHAnsi"/>
                        </w:rPr>
                        <w:t xml:space="preserve">The overall use of antibiotics across the CCG is still high and all prescribers are reminded to </w:t>
                      </w:r>
                      <w:r w:rsidRPr="00606FA0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</w:rPr>
                        <w:t>only use antibiotics when absolutely necessary.</w:t>
                      </w:r>
                    </w:p>
                    <w:p w:rsidR="00EF60A7" w:rsidRDefault="00EF60A7"/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CA1912" w:rsidP="00C65FE2">
      <w:pPr>
        <w:ind w:left="142" w:right="7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D8C26" wp14:editId="4C7681F1">
                <wp:simplePos x="0" y="0"/>
                <wp:positionH relativeFrom="column">
                  <wp:posOffset>36770</wp:posOffset>
                </wp:positionH>
                <wp:positionV relativeFrom="paragraph">
                  <wp:posOffset>97383</wp:posOffset>
                </wp:positionV>
                <wp:extent cx="6737350" cy="3209026"/>
                <wp:effectExtent l="19050" t="19050" r="254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320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A0" w:rsidRPr="00910099" w:rsidRDefault="00A97DA0" w:rsidP="00A97DA0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910099">
                              <w:rPr>
                                <w:b/>
                                <w:u w:val="single"/>
                              </w:rPr>
                              <w:t>Levetiracetam</w:t>
                            </w:r>
                            <w:proofErr w:type="spellEnd"/>
                            <w:r w:rsidRPr="00910099">
                              <w:rPr>
                                <w:b/>
                                <w:u w:val="single"/>
                              </w:rPr>
                              <w:t xml:space="preserve"> containing products 100 mg/mL oral </w:t>
                            </w:r>
                            <w:r w:rsidR="00910099" w:rsidRPr="00910099">
                              <w:rPr>
                                <w:b/>
                                <w:u w:val="single"/>
                              </w:rPr>
                              <w:t xml:space="preserve">solution presentations: Risk of </w:t>
                            </w:r>
                            <w:r w:rsidRPr="00910099">
                              <w:rPr>
                                <w:b/>
                                <w:u w:val="single"/>
                              </w:rPr>
                              <w:t>medication errors associated with overdose</w:t>
                            </w:r>
                            <w:r w:rsidR="00910099" w:rsidRPr="00910099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C66E67" w:rsidRDefault="00606FA0" w:rsidP="00E63497">
                            <w:pPr>
                              <w:jc w:val="both"/>
                            </w:pPr>
                            <w:r>
                              <w:t>National c</w:t>
                            </w:r>
                            <w:r w:rsidR="00910099">
                              <w:t>ases of an up to 10</w:t>
                            </w:r>
                            <w:r w:rsidR="00910099">
                              <w:rPr>
                                <w:rFonts w:ascii="Cambria Math" w:hAnsi="Cambria Math" w:cs="Cambria Math"/>
                              </w:rPr>
                              <w:t>‐</w:t>
                            </w:r>
                            <w:r w:rsidR="00910099">
                              <w:t xml:space="preserve">fold accidental overdose with </w:t>
                            </w:r>
                            <w:proofErr w:type="spellStart"/>
                            <w:r w:rsidR="00910099">
                              <w:t>Keppra</w:t>
                            </w:r>
                            <w:proofErr w:type="spellEnd"/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910099">
                              <w:t xml:space="preserve"> (</w:t>
                            </w:r>
                            <w:proofErr w:type="spellStart"/>
                            <w:r w:rsidR="00910099">
                              <w:t>le</w:t>
                            </w:r>
                            <w:r w:rsidR="00E63497">
                              <w:t>vetiracetam</w:t>
                            </w:r>
                            <w:proofErr w:type="spellEnd"/>
                            <w:r w:rsidR="00E63497">
                              <w:t xml:space="preserve">) oral solution have been </w:t>
                            </w:r>
                            <w:r w:rsidR="00910099">
                              <w:t>reported. The majority of cases occurred in childr</w:t>
                            </w:r>
                            <w:r w:rsidR="00E63497">
                              <w:t xml:space="preserve">en aged between 6 months and 11 </w:t>
                            </w:r>
                            <w:r w:rsidR="00910099">
                              <w:t xml:space="preserve">years. 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r>
                              <w:t>Physicians should always prescribe the dose in mg with mL equivalence based on the correct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.</w:t>
                            </w:r>
                            <w:r w:rsidR="00E63497">
                              <w:t xml:space="preserve">  </w:t>
                            </w:r>
                            <w:proofErr w:type="spellStart"/>
                            <w:r>
                              <w:t>Levetiracetam</w:t>
                            </w:r>
                            <w:proofErr w:type="spellEnd"/>
                            <w:r>
                              <w:t xml:space="preserve"> overdose can lead to serious adverse events, like depressed level of consciousness,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proofErr w:type="gramStart"/>
                            <w:r>
                              <w:t>r</w:t>
                            </w:r>
                            <w:r w:rsidR="00E63497">
                              <w:t>espiratory</w:t>
                            </w:r>
                            <w:proofErr w:type="gramEnd"/>
                            <w:r w:rsidR="00E63497">
                              <w:t xml:space="preserve"> depression and coma.  </w:t>
                            </w:r>
                            <w:r>
                              <w:t>In the cases where the cause of the reported accidental overdosing co</w:t>
                            </w:r>
                            <w:r w:rsidR="00E63497">
                              <w:t xml:space="preserve">uld be retrieved, it was either </w:t>
                            </w:r>
                            <w:r>
                              <w:t>due to the use of an inappropriate syringe or the misunderstandin</w:t>
                            </w:r>
                            <w:r w:rsidR="00E63497">
                              <w:t xml:space="preserve">g of the caregiver about how to </w:t>
                            </w:r>
                            <w:r>
                              <w:t>properly measure the dose.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r>
                              <w:t>Physicians should prescribe the recommended presentation o</w:t>
                            </w:r>
                            <w:r w:rsidR="00C66E67">
                              <w:t xml:space="preserve">f </w:t>
                            </w:r>
                            <w:proofErr w:type="spellStart"/>
                            <w:r w:rsidR="00C66E67">
                              <w:t>Keppra</w:t>
                            </w:r>
                            <w:proofErr w:type="spellEnd"/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C66E67">
                              <w:t xml:space="preserve"> oral solution with the </w:t>
                            </w:r>
                            <w:r>
                              <w:t>appropriate syringe according to the age/bodyweight of the</w:t>
                            </w:r>
                            <w:r w:rsidR="00C66E67">
                              <w:t xml:space="preserve"> patient. The pharmacist should </w:t>
                            </w:r>
                            <w:r>
                              <w:t>ensure the right syringe is dispensed with t</w:t>
                            </w:r>
                            <w:r w:rsidR="00E63497">
                              <w:t xml:space="preserve">he corresponding presentation: </w:t>
                            </w:r>
                          </w:p>
                          <w:p w:rsidR="00910099" w:rsidRDefault="00910099" w:rsidP="00E634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150 mL bottle with 1 mL syringe for infants from 1 month to less than 6 months;</w:t>
                            </w:r>
                          </w:p>
                          <w:p w:rsidR="00910099" w:rsidRDefault="00910099" w:rsidP="00E634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150 mL bottle with 3 mL syringe for children 6 months to less than 4 years and below 50 kg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proofErr w:type="gramStart"/>
                            <w:r>
                              <w:t>bodyweight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10099" w:rsidRDefault="00910099" w:rsidP="00E634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300 mL bottle with 10 mL syringe for children 4 years and older and below 50 kg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proofErr w:type="gramStart"/>
                            <w:r>
                              <w:t>bodyweight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10099" w:rsidRDefault="00910099" w:rsidP="00E634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300 mL bottle with 10 mL syringe for children, adolescents and adults with 50 kg and more</w:t>
                            </w:r>
                          </w:p>
                          <w:p w:rsidR="00910099" w:rsidRDefault="00910099" w:rsidP="00E63497">
                            <w:pPr>
                              <w:jc w:val="both"/>
                            </w:pPr>
                            <w:proofErr w:type="gramStart"/>
                            <w:r>
                              <w:t>bodyweight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10099" w:rsidRDefault="00910099" w:rsidP="00910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9pt;margin-top:7.65pt;width:530.5pt;height:2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" strokecolor="#943634 [2405]" strokeweight="2.5pt">
                <v:textbox>
                  <w:txbxContent>
                    <w:p w:rsidR="00A97DA0" w:rsidRPr="00910099" w:rsidRDefault="00A97DA0" w:rsidP="00A97DA0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910099">
                        <w:rPr>
                          <w:b/>
                          <w:u w:val="single"/>
                        </w:rPr>
                        <w:t>Levetiracetam</w:t>
                      </w:r>
                      <w:proofErr w:type="spellEnd"/>
                      <w:r w:rsidRPr="00910099">
                        <w:rPr>
                          <w:b/>
                          <w:u w:val="single"/>
                        </w:rPr>
                        <w:t xml:space="preserve"> containing products 100 mg/mL oral </w:t>
                      </w:r>
                      <w:r w:rsidR="00910099" w:rsidRPr="00910099">
                        <w:rPr>
                          <w:b/>
                          <w:u w:val="single"/>
                        </w:rPr>
                        <w:t xml:space="preserve">solution presentations: Risk of </w:t>
                      </w:r>
                      <w:r w:rsidRPr="00910099">
                        <w:rPr>
                          <w:b/>
                          <w:u w:val="single"/>
                        </w:rPr>
                        <w:t>medication errors associated with overdose</w:t>
                      </w:r>
                      <w:r w:rsidR="00910099" w:rsidRPr="00910099">
                        <w:rPr>
                          <w:b/>
                          <w:u w:val="single"/>
                        </w:rPr>
                        <w:t>.</w:t>
                      </w:r>
                    </w:p>
                    <w:p w:rsidR="00C66E67" w:rsidRDefault="00606FA0" w:rsidP="00E63497">
                      <w:pPr>
                        <w:jc w:val="both"/>
                      </w:pPr>
                      <w:r>
                        <w:t>National c</w:t>
                      </w:r>
                      <w:r w:rsidR="00910099">
                        <w:t>ases of an up to 10</w:t>
                      </w:r>
                      <w:r w:rsidR="00910099">
                        <w:rPr>
                          <w:rFonts w:ascii="Cambria Math" w:hAnsi="Cambria Math" w:cs="Cambria Math"/>
                        </w:rPr>
                        <w:t>‐</w:t>
                      </w:r>
                      <w:r w:rsidR="00910099">
                        <w:t xml:space="preserve">fold accidental overdose with </w:t>
                      </w:r>
                      <w:proofErr w:type="spellStart"/>
                      <w:r w:rsidR="00910099">
                        <w:t>Keppra</w:t>
                      </w:r>
                      <w:proofErr w:type="spellEnd"/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910099">
                        <w:t xml:space="preserve"> (</w:t>
                      </w:r>
                      <w:proofErr w:type="spellStart"/>
                      <w:r w:rsidR="00910099">
                        <w:t>le</w:t>
                      </w:r>
                      <w:r w:rsidR="00E63497">
                        <w:t>vetiracetam</w:t>
                      </w:r>
                      <w:proofErr w:type="spellEnd"/>
                      <w:r w:rsidR="00E63497">
                        <w:t xml:space="preserve">) oral solution have been </w:t>
                      </w:r>
                      <w:r w:rsidR="00910099">
                        <w:t>reported. The majority of cases occurred in childr</w:t>
                      </w:r>
                      <w:r w:rsidR="00E63497">
                        <w:t xml:space="preserve">en aged between 6 months and 11 </w:t>
                      </w:r>
                      <w:r w:rsidR="00910099">
                        <w:t xml:space="preserve">years. 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r>
                        <w:t>Physicians should always prescribe the dose in mg with mL equivalence based on the correct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proofErr w:type="gramStart"/>
                      <w:r>
                        <w:t>age</w:t>
                      </w:r>
                      <w:proofErr w:type="gramEnd"/>
                      <w:r>
                        <w:t>.</w:t>
                      </w:r>
                      <w:r w:rsidR="00E63497">
                        <w:t xml:space="preserve">  </w:t>
                      </w:r>
                      <w:proofErr w:type="spellStart"/>
                      <w:r>
                        <w:t>Levetiracetam</w:t>
                      </w:r>
                      <w:proofErr w:type="spellEnd"/>
                      <w:r>
                        <w:t xml:space="preserve"> overdose can lead to serious adverse events, like depressed level of consciousness,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proofErr w:type="gramStart"/>
                      <w:r>
                        <w:t>r</w:t>
                      </w:r>
                      <w:r w:rsidR="00E63497">
                        <w:t>espiratory</w:t>
                      </w:r>
                      <w:proofErr w:type="gramEnd"/>
                      <w:r w:rsidR="00E63497">
                        <w:t xml:space="preserve"> depression and coma.  </w:t>
                      </w:r>
                      <w:r>
                        <w:t>In the cases where the cause of the reported accidental overdosing co</w:t>
                      </w:r>
                      <w:r w:rsidR="00E63497">
                        <w:t xml:space="preserve">uld be retrieved, it was either </w:t>
                      </w:r>
                      <w:r>
                        <w:t>due to the use of an inappropriate syringe or the misunderstandin</w:t>
                      </w:r>
                      <w:r w:rsidR="00E63497">
                        <w:t xml:space="preserve">g of the caregiver about how to </w:t>
                      </w:r>
                      <w:r>
                        <w:t>properly measure the dose.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r>
                        <w:t>Physicians should prescribe the recommended presentation o</w:t>
                      </w:r>
                      <w:r w:rsidR="00C66E67">
                        <w:t xml:space="preserve">f </w:t>
                      </w:r>
                      <w:proofErr w:type="spellStart"/>
                      <w:r w:rsidR="00C66E67">
                        <w:t>Keppra</w:t>
                      </w:r>
                      <w:proofErr w:type="spellEnd"/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C66E67">
                        <w:t xml:space="preserve"> oral solution with the </w:t>
                      </w:r>
                      <w:r>
                        <w:t>appropriate syringe according to the age/bodyweight of the</w:t>
                      </w:r>
                      <w:r w:rsidR="00C66E67">
                        <w:t xml:space="preserve"> patient. The pharmacist should </w:t>
                      </w:r>
                      <w:r>
                        <w:t>ensure the right syringe is dispensed with t</w:t>
                      </w:r>
                      <w:r w:rsidR="00E63497">
                        <w:t xml:space="preserve">he corresponding presentation: </w:t>
                      </w:r>
                    </w:p>
                    <w:p w:rsidR="00910099" w:rsidRDefault="00910099" w:rsidP="00E634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150 mL bottle with 1 mL syringe for infants from 1 month to less than 6 months;</w:t>
                      </w:r>
                    </w:p>
                    <w:p w:rsidR="00910099" w:rsidRDefault="00910099" w:rsidP="00E634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150 mL bottle with 3 mL syringe for children 6 months to less than 4 years and below 50 kg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proofErr w:type="gramStart"/>
                      <w:r>
                        <w:t>bodyweight</w:t>
                      </w:r>
                      <w:proofErr w:type="gramEnd"/>
                      <w:r>
                        <w:t>;</w:t>
                      </w:r>
                    </w:p>
                    <w:p w:rsidR="00910099" w:rsidRDefault="00910099" w:rsidP="00E634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300 mL bottle with 10 mL syringe for children 4 years and older and below 50 kg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proofErr w:type="gramStart"/>
                      <w:r>
                        <w:t>bodyweight</w:t>
                      </w:r>
                      <w:proofErr w:type="gramEnd"/>
                      <w:r>
                        <w:t>;</w:t>
                      </w:r>
                    </w:p>
                    <w:p w:rsidR="00910099" w:rsidRDefault="00910099" w:rsidP="00E634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300 mL bottle with 10 mL syringe for children, adolescents and adults with 50 kg and more</w:t>
                      </w:r>
                    </w:p>
                    <w:p w:rsidR="00910099" w:rsidRDefault="00910099" w:rsidP="00E63497">
                      <w:pPr>
                        <w:jc w:val="both"/>
                      </w:pPr>
                      <w:proofErr w:type="gramStart"/>
                      <w:r>
                        <w:t>bodyweight</w:t>
                      </w:r>
                      <w:proofErr w:type="gramEnd"/>
                      <w:r>
                        <w:t>.</w:t>
                      </w:r>
                    </w:p>
                    <w:p w:rsidR="00910099" w:rsidRDefault="00910099" w:rsidP="00910099"/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C66E67" w:rsidP="00C65FE2">
      <w:pPr>
        <w:ind w:left="142" w:right="7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94853" wp14:editId="75486746">
                <wp:simplePos x="0" y="0"/>
                <wp:positionH relativeFrom="column">
                  <wp:posOffset>36770</wp:posOffset>
                </wp:positionH>
                <wp:positionV relativeFrom="paragraph">
                  <wp:posOffset>154329</wp:posOffset>
                </wp:positionV>
                <wp:extent cx="6737350" cy="1242204"/>
                <wp:effectExtent l="19050" t="19050" r="254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B0" w:rsidRDefault="00A056B0">
                            <w:r w:rsidRPr="00A056B0">
                              <w:rPr>
                                <w:b/>
                                <w:u w:val="single"/>
                              </w:rPr>
                              <w:t>Depakote stock issues:</w:t>
                            </w:r>
                            <w:r>
                              <w:t xml:space="preserve"> </w:t>
                            </w:r>
                            <w:r w:rsidR="001415A3">
                              <w:t>There are stock issues with Depakote</w:t>
                            </w:r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1415A3">
                              <w:t xml:space="preserve"> 250mg tablets.  If the dose cannot be made up using 500mg tablets consider the following information</w:t>
                            </w:r>
                            <w:r w:rsidR="00CE53D6">
                              <w:t xml:space="preserve">. </w:t>
                            </w:r>
                          </w:p>
                          <w:p w:rsidR="004A6F37" w:rsidRDefault="00CE53D6" w:rsidP="004A6F37">
                            <w:pPr>
                              <w:ind w:firstLine="720"/>
                            </w:pPr>
                            <w:r>
                              <w:t>Depakote</w:t>
                            </w:r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4165F5">
                              <w:t xml:space="preserve"> 500mg</w:t>
                            </w:r>
                            <w:r>
                              <w:t xml:space="preserve"> contains</w:t>
                            </w:r>
                            <w:r w:rsidR="004A6F37">
                              <w:t xml:space="preserve"> 500mg </w:t>
                            </w:r>
                            <w:proofErr w:type="spellStart"/>
                            <w:r w:rsidR="004A6F37">
                              <w:t>valproic</w:t>
                            </w:r>
                            <w:proofErr w:type="spellEnd"/>
                            <w:r w:rsidR="004A6F37">
                              <w:t xml:space="preserve"> acid </w:t>
                            </w:r>
                          </w:p>
                          <w:p w:rsidR="00CE53D6" w:rsidRDefault="004165F5" w:rsidP="004A6F37">
                            <w:pPr>
                              <w:ind w:firstLine="720"/>
                            </w:pPr>
                            <w:r>
                              <w:t xml:space="preserve">Sodium Valproate 500mg contains 433mg </w:t>
                            </w:r>
                            <w:proofErr w:type="spellStart"/>
                            <w:r w:rsidR="004A6F37">
                              <w:t>valproic</w:t>
                            </w:r>
                            <w:proofErr w:type="spellEnd"/>
                            <w:r w:rsidR="004A6F37">
                              <w:t xml:space="preserve"> acid</w:t>
                            </w:r>
                            <w:r>
                              <w:t xml:space="preserve"> </w:t>
                            </w:r>
                          </w:p>
                          <w:p w:rsidR="004A6F37" w:rsidRPr="00A056B0" w:rsidRDefault="004A6F37" w:rsidP="004A6F37">
                            <w:proofErr w:type="gramStart"/>
                            <w:r>
                              <w:t xml:space="preserve">Although sodium valproate is not licensed as an </w:t>
                            </w:r>
                            <w:proofErr w:type="spellStart"/>
                            <w:r>
                              <w:t>antimanic</w:t>
                            </w:r>
                            <w:proofErr w:type="spellEnd"/>
                            <w:r>
                              <w:t>/mood stabiliser NICE supports its use in bipolar disorder.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RDaSH</w:t>
                            </w:r>
                            <w:proofErr w:type="spellEnd"/>
                            <w:r>
                              <w:t xml:space="preserve"> have also recommended that sodium valproate may be used where necessary.  Some dose rounding up may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.9pt;margin-top:12.15pt;width:530.5pt;height:9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" fillcolor="white [3201]" strokecolor="#4f81bd [3204]" strokeweight="2.5pt">
                <v:textbox>
                  <w:txbxContent>
                    <w:p w:rsidR="00A056B0" w:rsidRDefault="00A056B0">
                      <w:r w:rsidRPr="00A056B0">
                        <w:rPr>
                          <w:b/>
                          <w:u w:val="single"/>
                        </w:rPr>
                        <w:t>Depakote stock issues:</w:t>
                      </w:r>
                      <w:r>
                        <w:t xml:space="preserve"> </w:t>
                      </w:r>
                      <w:r w:rsidR="001415A3">
                        <w:t>There are stock issues with Depakote</w:t>
                      </w:r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1415A3">
                        <w:t xml:space="preserve"> 250mg tablets.  If the dose cannot be made up using 500mg tablets consider the following information</w:t>
                      </w:r>
                      <w:r w:rsidR="00CE53D6">
                        <w:t xml:space="preserve">. </w:t>
                      </w:r>
                    </w:p>
                    <w:p w:rsidR="004A6F37" w:rsidRDefault="00CE53D6" w:rsidP="004A6F37">
                      <w:pPr>
                        <w:ind w:firstLine="720"/>
                      </w:pPr>
                      <w:r>
                        <w:t>Depakote</w:t>
                      </w:r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4165F5">
                        <w:t xml:space="preserve"> 500mg</w:t>
                      </w:r>
                      <w:r>
                        <w:t xml:space="preserve"> contains</w:t>
                      </w:r>
                      <w:r w:rsidR="004A6F37">
                        <w:t xml:space="preserve"> 500mg </w:t>
                      </w:r>
                      <w:proofErr w:type="spellStart"/>
                      <w:r w:rsidR="004A6F37">
                        <w:t>valproic</w:t>
                      </w:r>
                      <w:proofErr w:type="spellEnd"/>
                      <w:r w:rsidR="004A6F37">
                        <w:t xml:space="preserve"> acid </w:t>
                      </w:r>
                    </w:p>
                    <w:p w:rsidR="00CE53D6" w:rsidRDefault="004165F5" w:rsidP="004A6F37">
                      <w:pPr>
                        <w:ind w:firstLine="720"/>
                      </w:pPr>
                      <w:r>
                        <w:t xml:space="preserve">Sodium Valproate 500mg contains 433mg </w:t>
                      </w:r>
                      <w:proofErr w:type="spellStart"/>
                      <w:r w:rsidR="004A6F37">
                        <w:t>valproic</w:t>
                      </w:r>
                      <w:proofErr w:type="spellEnd"/>
                      <w:r w:rsidR="004A6F37">
                        <w:t xml:space="preserve"> acid</w:t>
                      </w:r>
                      <w:r>
                        <w:t xml:space="preserve"> </w:t>
                      </w:r>
                    </w:p>
                    <w:p w:rsidR="004A6F37" w:rsidRPr="00A056B0" w:rsidRDefault="004A6F37" w:rsidP="004A6F37">
                      <w:proofErr w:type="gramStart"/>
                      <w:r>
                        <w:t xml:space="preserve">Although sodium valproate is not licensed as an </w:t>
                      </w:r>
                      <w:proofErr w:type="spellStart"/>
                      <w:r>
                        <w:t>antimanic</w:t>
                      </w:r>
                      <w:proofErr w:type="spellEnd"/>
                      <w:r>
                        <w:t>/mood stabiliser NICE supports its use in bipolar disorder.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RDaSH</w:t>
                      </w:r>
                      <w:proofErr w:type="spellEnd"/>
                      <w:r>
                        <w:t xml:space="preserve"> have also recommended that sodium valproate may be used where necessary.  Some dose rounding up may be necessary.</w:t>
                      </w:r>
                    </w:p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C66E67" w:rsidP="00C65FE2">
      <w:pPr>
        <w:ind w:left="142" w:right="7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9E1C5" wp14:editId="0636FE5D">
                <wp:simplePos x="0" y="0"/>
                <wp:positionH relativeFrom="column">
                  <wp:posOffset>36770</wp:posOffset>
                </wp:positionH>
                <wp:positionV relativeFrom="paragraph">
                  <wp:posOffset>28275</wp:posOffset>
                </wp:positionV>
                <wp:extent cx="6736715" cy="776378"/>
                <wp:effectExtent l="19050" t="19050" r="2603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67" w:rsidRPr="00C66E67" w:rsidRDefault="00C66E67">
                            <w:r w:rsidRPr="001912C6">
                              <w:rPr>
                                <w:b/>
                                <w:u w:val="single"/>
                              </w:rPr>
                              <w:t>Branded generic of the month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Alzain</w:t>
                            </w:r>
                            <w:proofErr w:type="spellEnd"/>
                            <w:r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cs="Arial"/>
                                <w:vertAlign w:val="superscript"/>
                              </w:rPr>
                              <w:t xml:space="preserve"> </w:t>
                            </w:r>
                            <w:r w:rsidR="00F43F0B">
                              <w:rPr>
                                <w:rFonts w:cs="Arial"/>
                              </w:rPr>
                              <w:t xml:space="preserve">is a brand of </w:t>
                            </w:r>
                            <w:proofErr w:type="spellStart"/>
                            <w:r w:rsidR="00F43F0B">
                              <w:rPr>
                                <w:rFonts w:cs="Arial"/>
                              </w:rPr>
                              <w:t>pregabalin</w:t>
                            </w:r>
                            <w:proofErr w:type="spellEnd"/>
                            <w:r w:rsidR="00F43F0B">
                              <w:rPr>
                                <w:rFonts w:cs="Arial"/>
                              </w:rPr>
                              <w:t xml:space="preserve"> which is 30% cheaper than the current list price (based on Lyrica</w:t>
                            </w:r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F43F0B">
                              <w:rPr>
                                <w:rFonts w:cs="Arial"/>
                              </w:rPr>
                              <w:t xml:space="preserve">) </w:t>
                            </w:r>
                            <w:proofErr w:type="gramStart"/>
                            <w:r w:rsidR="00F43F0B">
                              <w:rPr>
                                <w:rFonts w:cs="Arial"/>
                              </w:rPr>
                              <w:t>All</w:t>
                            </w:r>
                            <w:proofErr w:type="gramEnd"/>
                            <w:r w:rsidR="00F43F0B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F43F0B">
                              <w:rPr>
                                <w:rFonts w:cs="Arial"/>
                              </w:rPr>
                              <w:t>pregabalin</w:t>
                            </w:r>
                            <w:proofErr w:type="spellEnd"/>
                            <w:r w:rsidR="00F43F0B">
                              <w:rPr>
                                <w:rFonts w:cs="Arial"/>
                              </w:rPr>
                              <w:t xml:space="preserve"> for any indication other than neuropathic pain (which we will look at again in </w:t>
                            </w:r>
                            <w:r w:rsidR="001912C6">
                              <w:rPr>
                                <w:rFonts w:cs="Arial"/>
                              </w:rPr>
                              <w:t>July 2017 when</w:t>
                            </w:r>
                            <w:r w:rsidR="00956E8D">
                              <w:rPr>
                                <w:rFonts w:cs="Arial"/>
                              </w:rPr>
                              <w:t xml:space="preserve"> the current patent for Lyrica</w:t>
                            </w:r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956E8D">
                              <w:rPr>
                                <w:rFonts w:cs="Arial"/>
                              </w:rPr>
                              <w:t xml:space="preserve"> and neuropathic pain expires) will be changed to </w:t>
                            </w:r>
                            <w:proofErr w:type="spellStart"/>
                            <w:r w:rsidR="00956E8D">
                              <w:rPr>
                                <w:rFonts w:cs="Arial"/>
                              </w:rPr>
                              <w:t>Alzain</w:t>
                            </w:r>
                            <w:proofErr w:type="spellEnd"/>
                            <w:r w:rsidR="00956E8D" w:rsidRPr="00C66E67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 w:rsidR="00956E8D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9pt;margin-top:2.25pt;width:530.45pt;height: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" strokecolor="#e36c0a [2409]" strokeweight="2.5pt">
                <v:textbox>
                  <w:txbxContent>
                    <w:p w:rsidR="00C66E67" w:rsidRPr="00C66E67" w:rsidRDefault="00C66E67">
                      <w:r w:rsidRPr="001912C6">
                        <w:rPr>
                          <w:b/>
                          <w:u w:val="single"/>
                        </w:rPr>
                        <w:t>Branded generic of the month</w:t>
                      </w:r>
                      <w:r>
                        <w:t xml:space="preserve">: </w:t>
                      </w:r>
                      <w:proofErr w:type="spellStart"/>
                      <w:r>
                        <w:t>Alzain</w:t>
                      </w:r>
                      <w:proofErr w:type="spellEnd"/>
                      <w:r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>
                        <w:rPr>
                          <w:rFonts w:cs="Arial"/>
                          <w:vertAlign w:val="superscript"/>
                        </w:rPr>
                        <w:t xml:space="preserve"> </w:t>
                      </w:r>
                      <w:r w:rsidR="00F43F0B">
                        <w:rPr>
                          <w:rFonts w:cs="Arial"/>
                        </w:rPr>
                        <w:t xml:space="preserve">is a brand of </w:t>
                      </w:r>
                      <w:proofErr w:type="spellStart"/>
                      <w:r w:rsidR="00F43F0B">
                        <w:rPr>
                          <w:rFonts w:cs="Arial"/>
                        </w:rPr>
                        <w:t>pregabalin</w:t>
                      </w:r>
                      <w:proofErr w:type="spellEnd"/>
                      <w:r w:rsidR="00F43F0B">
                        <w:rPr>
                          <w:rFonts w:cs="Arial"/>
                        </w:rPr>
                        <w:t xml:space="preserve"> which is 30% cheaper than the current list price (based on Lyrica</w:t>
                      </w:r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F43F0B">
                        <w:rPr>
                          <w:rFonts w:cs="Arial"/>
                        </w:rPr>
                        <w:t xml:space="preserve">) </w:t>
                      </w:r>
                      <w:proofErr w:type="gramStart"/>
                      <w:r w:rsidR="00F43F0B">
                        <w:rPr>
                          <w:rFonts w:cs="Arial"/>
                        </w:rPr>
                        <w:t>All</w:t>
                      </w:r>
                      <w:proofErr w:type="gramEnd"/>
                      <w:r w:rsidR="00F43F0B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F43F0B">
                        <w:rPr>
                          <w:rFonts w:cs="Arial"/>
                        </w:rPr>
                        <w:t>pregabalin</w:t>
                      </w:r>
                      <w:proofErr w:type="spellEnd"/>
                      <w:r w:rsidR="00F43F0B">
                        <w:rPr>
                          <w:rFonts w:cs="Arial"/>
                        </w:rPr>
                        <w:t xml:space="preserve"> for any indication other than neuropathic pain (which we will look at again in </w:t>
                      </w:r>
                      <w:r w:rsidR="001912C6">
                        <w:rPr>
                          <w:rFonts w:cs="Arial"/>
                        </w:rPr>
                        <w:t>July 2017 when</w:t>
                      </w:r>
                      <w:r w:rsidR="00956E8D">
                        <w:rPr>
                          <w:rFonts w:cs="Arial"/>
                        </w:rPr>
                        <w:t xml:space="preserve"> the current patent for Lyrica</w:t>
                      </w:r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956E8D">
                        <w:rPr>
                          <w:rFonts w:cs="Arial"/>
                        </w:rPr>
                        <w:t xml:space="preserve"> and neuropathic pain expires) will be changed to </w:t>
                      </w:r>
                      <w:proofErr w:type="spellStart"/>
                      <w:r w:rsidR="00956E8D">
                        <w:rPr>
                          <w:rFonts w:cs="Arial"/>
                        </w:rPr>
                        <w:t>Alzain</w:t>
                      </w:r>
                      <w:proofErr w:type="spellEnd"/>
                      <w:r w:rsidR="00956E8D" w:rsidRPr="00C66E67">
                        <w:rPr>
                          <w:rFonts w:cs="Arial"/>
                          <w:vertAlign w:val="superscript"/>
                        </w:rPr>
                        <w:t>®</w:t>
                      </w:r>
                      <w:r w:rsidR="00956E8D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F43F0B" w:rsidP="00C65FE2">
      <w:pPr>
        <w:ind w:left="142" w:right="7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4EB" wp14:editId="03CAE481">
                <wp:simplePos x="0" y="0"/>
                <wp:positionH relativeFrom="column">
                  <wp:posOffset>36770</wp:posOffset>
                </wp:positionH>
                <wp:positionV relativeFrom="paragraph">
                  <wp:posOffset>53136</wp:posOffset>
                </wp:positionV>
                <wp:extent cx="6738620" cy="1569708"/>
                <wp:effectExtent l="19050" t="19050" r="241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156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A0" w:rsidRPr="00C66E67" w:rsidRDefault="00A97DA0" w:rsidP="00571080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66E67">
                              <w:rPr>
                                <w:sz w:val="20"/>
                                <w:szCs w:val="20"/>
                              </w:rPr>
                              <w:t>As you know there have been issues registering and deregistering GPs since the demise of the South Yorkshire Agency and the world being run by Capita.</w:t>
                            </w:r>
                            <w:r w:rsidR="00F02BCF" w:rsidRPr="00C66E67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41CCE" w:rsidRDefault="00A97DA0" w:rsidP="00941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6E67">
                              <w:rPr>
                                <w:sz w:val="20"/>
                                <w:szCs w:val="20"/>
                              </w:rPr>
                              <w:t xml:space="preserve">Well it appears that </w:t>
                            </w:r>
                            <w:r w:rsidR="0079006A" w:rsidRPr="00C66E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Stuart Lakin </w:t>
                            </w:r>
                            <w:r w:rsidR="0079006A" w:rsidRPr="00C66E67">
                              <w:rPr>
                                <w:bCs/>
                                <w:sz w:val="20"/>
                                <w:szCs w:val="20"/>
                              </w:rPr>
                              <w:t>now</w:t>
                            </w:r>
                            <w:r w:rsidR="0079006A" w:rsidRPr="00C66E67">
                              <w:rPr>
                                <w:sz w:val="20"/>
                                <w:szCs w:val="20"/>
                              </w:rPr>
                              <w:t xml:space="preserve"> has</w:t>
                            </w:r>
                            <w:r w:rsidRPr="00C66E67">
                              <w:rPr>
                                <w:sz w:val="20"/>
                                <w:szCs w:val="20"/>
                              </w:rPr>
                              <w:t xml:space="preserve"> the power to register and deregis</w:t>
                            </w:r>
                            <w:r w:rsidR="001D2273">
                              <w:rPr>
                                <w:sz w:val="20"/>
                                <w:szCs w:val="20"/>
                              </w:rPr>
                              <w:t>ter GPs with the PPD</w:t>
                            </w:r>
                            <w:r w:rsidR="00941CCE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2172B" w:rsidRPr="00941CCE" w:rsidRDefault="00C2172B" w:rsidP="00941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41C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97DA0" w:rsidRPr="00941CCE">
                              <w:rPr>
                                <w:sz w:val="20"/>
                                <w:szCs w:val="20"/>
                              </w:rPr>
                              <w:t>ll new GPs</w:t>
                            </w:r>
                            <w:r w:rsidRPr="00941CCE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="00A97DA0" w:rsidRPr="00941CCE">
                              <w:rPr>
                                <w:sz w:val="20"/>
                                <w:szCs w:val="20"/>
                              </w:rPr>
                              <w:t>Send their details to</w:t>
                            </w:r>
                            <w:r w:rsidR="00F02BCF" w:rsidRPr="00941CCE">
                              <w:rPr>
                                <w:sz w:val="20"/>
                                <w:szCs w:val="20"/>
                              </w:rPr>
                              <w:t xml:space="preserve"> Stuart</w:t>
                            </w:r>
                          </w:p>
                          <w:p w:rsidR="00A97DA0" w:rsidRDefault="00A97DA0" w:rsidP="00A97D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6E67">
                              <w:rPr>
                                <w:sz w:val="20"/>
                                <w:szCs w:val="20"/>
                              </w:rPr>
                              <w:t>Any GPs that leave a practice or spontaneously combust while at work</w:t>
                            </w:r>
                            <w:r w:rsidR="00C2172B" w:rsidRPr="00C66E67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C66E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CCE" w:rsidRPr="00C66E67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r w:rsidRPr="00C66E67">
                              <w:rPr>
                                <w:sz w:val="20"/>
                                <w:szCs w:val="20"/>
                              </w:rPr>
                              <w:t xml:space="preserve"> their details to </w:t>
                            </w:r>
                            <w:hyperlink r:id="rId11" w:history="1">
                              <w:r w:rsidR="00F02BCF" w:rsidRPr="00A7579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Stuart</w:t>
                              </w:r>
                            </w:hyperlink>
                            <w:r w:rsidRPr="00C66E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6E67" w:rsidRPr="00C66E67" w:rsidRDefault="00C66E67" w:rsidP="00C66E67">
                            <w:pPr>
                              <w:pStyle w:val="ListParagraph"/>
                              <w:ind w:left="7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7DA0" w:rsidRDefault="00A97DA0" w:rsidP="00941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9pt;margin-top:4.2pt;width:530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" strokeweight="2.5pt">
                <v:textbox>
                  <w:txbxContent>
                    <w:p w:rsidR="00A97DA0" w:rsidRPr="00C66E67" w:rsidRDefault="00A97DA0" w:rsidP="00571080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C66E67">
                        <w:rPr>
                          <w:sz w:val="20"/>
                          <w:szCs w:val="20"/>
                        </w:rPr>
                        <w:t>As you know there have been issues registering and deregistering GPs since the demise of the South Yorkshire Agency and the world being run by Capita.</w:t>
                      </w:r>
                      <w:r w:rsidR="00F02BCF" w:rsidRPr="00C66E67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941CCE" w:rsidRDefault="00A97DA0" w:rsidP="00941CCE">
                      <w:pPr>
                        <w:rPr>
                          <w:sz w:val="20"/>
                          <w:szCs w:val="20"/>
                        </w:rPr>
                      </w:pPr>
                      <w:r w:rsidRPr="00C66E67">
                        <w:rPr>
                          <w:sz w:val="20"/>
                          <w:szCs w:val="20"/>
                        </w:rPr>
                        <w:t xml:space="preserve">Well it appears that </w:t>
                      </w:r>
                      <w:r w:rsidR="0079006A" w:rsidRPr="00C66E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Stuart Lakin </w:t>
                      </w:r>
                      <w:r w:rsidR="0079006A" w:rsidRPr="00C66E67">
                        <w:rPr>
                          <w:bCs/>
                          <w:sz w:val="20"/>
                          <w:szCs w:val="20"/>
                        </w:rPr>
                        <w:t>now</w:t>
                      </w:r>
                      <w:r w:rsidR="0079006A" w:rsidRPr="00C66E67">
                        <w:rPr>
                          <w:sz w:val="20"/>
                          <w:szCs w:val="20"/>
                        </w:rPr>
                        <w:t xml:space="preserve"> has</w:t>
                      </w:r>
                      <w:r w:rsidRPr="00C66E67">
                        <w:rPr>
                          <w:sz w:val="20"/>
                          <w:szCs w:val="20"/>
                        </w:rPr>
                        <w:t xml:space="preserve"> the power to register and deregis</w:t>
                      </w:r>
                      <w:r w:rsidR="001D2273">
                        <w:rPr>
                          <w:sz w:val="20"/>
                          <w:szCs w:val="20"/>
                        </w:rPr>
                        <w:t>ter GPs with the PPD</w:t>
                      </w:r>
                      <w:r w:rsidR="00941CCE">
                        <w:rPr>
                          <w:sz w:val="20"/>
                          <w:szCs w:val="20"/>
                        </w:rPr>
                        <w:t>!</w:t>
                      </w:r>
                    </w:p>
                    <w:p w:rsidR="00C2172B" w:rsidRPr="00941CCE" w:rsidRDefault="00C2172B" w:rsidP="00941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41CCE">
                        <w:rPr>
                          <w:sz w:val="20"/>
                          <w:szCs w:val="20"/>
                        </w:rPr>
                        <w:t>A</w:t>
                      </w:r>
                      <w:r w:rsidR="00A97DA0" w:rsidRPr="00941CCE">
                        <w:rPr>
                          <w:sz w:val="20"/>
                          <w:szCs w:val="20"/>
                        </w:rPr>
                        <w:t>ll new GPs</w:t>
                      </w:r>
                      <w:r w:rsidRPr="00941CCE">
                        <w:rPr>
                          <w:sz w:val="20"/>
                          <w:szCs w:val="20"/>
                        </w:rPr>
                        <w:t>……..</w:t>
                      </w:r>
                      <w:r w:rsidR="00A97DA0" w:rsidRPr="00941CCE">
                        <w:rPr>
                          <w:sz w:val="20"/>
                          <w:szCs w:val="20"/>
                        </w:rPr>
                        <w:t>Send their details to</w:t>
                      </w:r>
                      <w:r w:rsidR="00F02BCF" w:rsidRPr="00941CCE">
                        <w:rPr>
                          <w:sz w:val="20"/>
                          <w:szCs w:val="20"/>
                        </w:rPr>
                        <w:t xml:space="preserve"> Stuart</w:t>
                      </w:r>
                    </w:p>
                    <w:p w:rsidR="00A97DA0" w:rsidRDefault="00A97DA0" w:rsidP="00A97D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6E67">
                        <w:rPr>
                          <w:sz w:val="20"/>
                          <w:szCs w:val="20"/>
                        </w:rPr>
                        <w:t>Any GPs that leave a practice or spontaneously combust while at work</w:t>
                      </w:r>
                      <w:r w:rsidR="00C2172B" w:rsidRPr="00C66E67">
                        <w:rPr>
                          <w:sz w:val="20"/>
                          <w:szCs w:val="20"/>
                        </w:rPr>
                        <w:t>……..</w:t>
                      </w:r>
                      <w:r w:rsidRPr="00C66E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1CCE" w:rsidRPr="00C66E67">
                        <w:rPr>
                          <w:sz w:val="20"/>
                          <w:szCs w:val="20"/>
                        </w:rPr>
                        <w:t>Send</w:t>
                      </w:r>
                      <w:r w:rsidRPr="00C66E67">
                        <w:rPr>
                          <w:sz w:val="20"/>
                          <w:szCs w:val="20"/>
                        </w:rPr>
                        <w:t xml:space="preserve"> their details to </w:t>
                      </w:r>
                      <w:hyperlink r:id="rId12" w:history="1">
                        <w:r w:rsidR="00F02BCF" w:rsidRPr="00A7579F">
                          <w:rPr>
                            <w:rStyle w:val="Hyperlink"/>
                            <w:sz w:val="20"/>
                            <w:szCs w:val="20"/>
                          </w:rPr>
                          <w:t>Stuart</w:t>
                        </w:r>
                      </w:hyperlink>
                      <w:r w:rsidRPr="00C66E6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66E67" w:rsidRPr="00C66E67" w:rsidRDefault="00C66E67" w:rsidP="00C66E67">
                      <w:pPr>
                        <w:pStyle w:val="ListParagraph"/>
                        <w:ind w:left="788"/>
                        <w:rPr>
                          <w:sz w:val="20"/>
                          <w:szCs w:val="20"/>
                        </w:rPr>
                      </w:pPr>
                    </w:p>
                    <w:p w:rsidR="00A97DA0" w:rsidRDefault="00A97DA0" w:rsidP="00941CCE"/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50688A" w:rsidP="00C65FE2">
      <w:pPr>
        <w:ind w:left="142" w:right="7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DC1E" wp14:editId="5E4B348D">
                <wp:simplePos x="0" y="0"/>
                <wp:positionH relativeFrom="column">
                  <wp:posOffset>105781</wp:posOffset>
                </wp:positionH>
                <wp:positionV relativeFrom="paragraph">
                  <wp:posOffset>60744</wp:posOffset>
                </wp:positionV>
                <wp:extent cx="4045585" cy="7073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2B" w:rsidRDefault="00C217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6E67">
                              <w:rPr>
                                <w:sz w:val="20"/>
                                <w:szCs w:val="20"/>
                              </w:rPr>
                              <w:t>Details needed:</w:t>
                            </w:r>
                          </w:p>
                          <w:p w:rsidR="0050688A" w:rsidRDefault="0050688A" w:rsidP="005068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name &amp; GMC Number</w:t>
                            </w:r>
                          </w:p>
                          <w:p w:rsidR="0050688A" w:rsidRDefault="0050688A" w:rsidP="005068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GP DIN number</w:t>
                            </w:r>
                          </w:p>
                          <w:p w:rsidR="0050688A" w:rsidRPr="0050688A" w:rsidRDefault="0050688A" w:rsidP="005068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practice and start date or leaving date</w:t>
                            </w:r>
                          </w:p>
                          <w:p w:rsidR="00C2172B" w:rsidRDefault="00C2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8.35pt;margin-top:4.8pt;width:318.55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" fillcolor="white [3201]" stroked="f" strokeweight=".5pt">
                <v:textbox>
                  <w:txbxContent>
                    <w:p w:rsidR="00C2172B" w:rsidRDefault="00C2172B">
                      <w:pPr>
                        <w:rPr>
                          <w:sz w:val="20"/>
                          <w:szCs w:val="20"/>
                        </w:rPr>
                      </w:pPr>
                      <w:r w:rsidRPr="00C66E67">
                        <w:rPr>
                          <w:sz w:val="20"/>
                          <w:szCs w:val="20"/>
                        </w:rPr>
                        <w:t>Details needed:</w:t>
                      </w:r>
                    </w:p>
                    <w:p w:rsidR="0050688A" w:rsidRDefault="0050688A" w:rsidP="005068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Full name &amp; GMC Number</w:t>
                      </w:r>
                    </w:p>
                    <w:p w:rsidR="0050688A" w:rsidRDefault="0050688A" w:rsidP="005068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GP DIN number</w:t>
                      </w:r>
                    </w:p>
                    <w:p w:rsidR="0050688A" w:rsidRPr="0050688A" w:rsidRDefault="0050688A" w:rsidP="005068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practice and start date or leaving date</w:t>
                      </w:r>
                    </w:p>
                    <w:p w:rsidR="00C2172B" w:rsidRDefault="00C2172B"/>
                  </w:txbxContent>
                </v:textbox>
              </v:shape>
            </w:pict>
          </mc:Fallback>
        </mc:AlternateContent>
      </w: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C65FE2">
      <w:pPr>
        <w:ind w:left="142" w:right="70"/>
      </w:pPr>
    </w:p>
    <w:p w:rsidR="00376B7D" w:rsidRDefault="00376B7D" w:rsidP="009C1536"/>
    <w:p w:rsidR="00376B7D" w:rsidRDefault="00376B7D" w:rsidP="0079006A">
      <w:pPr>
        <w:tabs>
          <w:tab w:val="left" w:pos="4962"/>
        </w:tabs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C63CB5" w:rsidP="00C65FE2">
      <w:pPr>
        <w:ind w:right="211"/>
      </w:pPr>
    </w:p>
    <w:p w:rsidR="00C63CB5" w:rsidRDefault="001D2273" w:rsidP="00C65FE2">
      <w:pPr>
        <w:ind w:right="21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C4E2B" wp14:editId="102F7DCC">
                <wp:simplePos x="0" y="0"/>
                <wp:positionH relativeFrom="column">
                  <wp:posOffset>-41275</wp:posOffset>
                </wp:positionH>
                <wp:positionV relativeFrom="paragraph">
                  <wp:posOffset>37465</wp:posOffset>
                </wp:positionV>
                <wp:extent cx="2863850" cy="499745"/>
                <wp:effectExtent l="0" t="0" r="1270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4997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88A" w:rsidRPr="0050688A" w:rsidRDefault="001D2273" w:rsidP="0050688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He</w:t>
                            </w:r>
                            <w:r w:rsidR="0050688A" w:rsidRP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can also register and de</w:t>
                            </w:r>
                            <w:r w:rsid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register </w:t>
                            </w:r>
                            <w:r w:rsidR="0050688A" w:rsidRP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Non</w:t>
                            </w:r>
                            <w:r w:rsid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-</w:t>
                            </w:r>
                            <w:r w:rsidR="0050688A" w:rsidRP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medical</w:t>
                            </w:r>
                            <w:r w:rsidR="0050688A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50688A" w:rsidRPr="0050688A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prescribers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50688A" w:rsidRDefault="00506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-3.25pt;margin-top:2.95pt;width:225.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" fillcolor="#fde9d9 [665]" strokecolor="#243f60 [1604]" strokeweight="2pt">
                <v:textbox>
                  <w:txbxContent>
                    <w:p w:rsidR="0050688A" w:rsidRPr="0050688A" w:rsidRDefault="001D2273" w:rsidP="0050688A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He</w:t>
                      </w:r>
                      <w:r w:rsidR="0050688A" w:rsidRP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 can also register and de</w:t>
                      </w:r>
                      <w:r w:rsid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 xml:space="preserve">register </w:t>
                      </w:r>
                      <w:r w:rsidR="0050688A" w:rsidRP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Non</w:t>
                      </w:r>
                      <w:r w:rsid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-</w:t>
                      </w:r>
                      <w:r w:rsidR="0050688A" w:rsidRP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medical</w:t>
                      </w:r>
                      <w:r w:rsidR="0050688A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="0050688A" w:rsidRPr="0050688A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prescribers</w:t>
                      </w: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!</w:t>
                      </w:r>
                    </w:p>
                    <w:p w:rsidR="0050688A" w:rsidRDefault="0050688A"/>
                  </w:txbxContent>
                </v:textbox>
              </v:oval>
            </w:pict>
          </mc:Fallback>
        </mc:AlternateContent>
      </w:r>
    </w:p>
    <w:p w:rsidR="00C63CB5" w:rsidRDefault="00C63CB5" w:rsidP="00C65FE2">
      <w:pPr>
        <w:ind w:right="211"/>
      </w:pPr>
    </w:p>
    <w:p w:rsidR="00376B7D" w:rsidRDefault="00376B7D" w:rsidP="00C65FE2">
      <w:pPr>
        <w:ind w:right="211"/>
      </w:pPr>
    </w:p>
    <w:p w:rsidR="00376B7D" w:rsidRDefault="00376B7D" w:rsidP="009C1536">
      <w:pPr>
        <w:sectPr w:rsidR="00376B7D" w:rsidSect="00376B7D">
          <w:type w:val="continuous"/>
          <w:pgSz w:w="11906" w:h="16838"/>
          <w:pgMar w:top="567" w:right="567" w:bottom="567" w:left="567" w:header="709" w:footer="709" w:gutter="0"/>
          <w:pgBorders w:offsetFrom="page">
            <w:top w:val="thinThickSmallGap" w:sz="24" w:space="24" w:color="00682F"/>
            <w:left w:val="thinThickSmallGap" w:sz="24" w:space="24" w:color="00682F"/>
            <w:bottom w:val="thickThinSmallGap" w:sz="24" w:space="24" w:color="00682F"/>
            <w:right w:val="thickThinSmallGap" w:sz="24" w:space="24" w:color="00682F"/>
          </w:pgBorders>
          <w:cols w:num="2" w:space="425"/>
          <w:docGrid w:linePitch="360"/>
        </w:sectPr>
      </w:pPr>
    </w:p>
    <w:p w:rsidR="003B5140" w:rsidRDefault="003B5140" w:rsidP="009C1536"/>
    <w:p w:rsidR="0088044C" w:rsidRPr="00B13230" w:rsidRDefault="003B5140" w:rsidP="0088044C">
      <w:pPr>
        <w:rPr>
          <w:b/>
          <w:sz w:val="72"/>
          <w:szCs w:val="72"/>
          <w:u w:val="single"/>
        </w:rPr>
      </w:pPr>
      <w:r>
        <w:br w:type="page"/>
      </w:r>
      <w:r w:rsidR="0088044C" w:rsidRPr="00B13230">
        <w:rPr>
          <w:b/>
          <w:color w:val="FF0000"/>
          <w:sz w:val="72"/>
          <w:szCs w:val="72"/>
          <w:u w:val="single"/>
        </w:rPr>
        <w:lastRenderedPageBreak/>
        <w:t>Diabetes update</w:t>
      </w:r>
    </w:p>
    <w:p w:rsidR="0088044C" w:rsidRPr="00320EE4" w:rsidRDefault="0088044C" w:rsidP="0088044C">
      <w:pPr>
        <w:rPr>
          <w:sz w:val="24"/>
          <w:szCs w:val="24"/>
        </w:rPr>
      </w:pPr>
      <w:r w:rsidRPr="00AD59E9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505921" wp14:editId="2378093A">
                <wp:simplePos x="0" y="0"/>
                <wp:positionH relativeFrom="column">
                  <wp:posOffset>4039055</wp:posOffset>
                </wp:positionH>
                <wp:positionV relativeFrom="paragraph">
                  <wp:posOffset>-470667</wp:posOffset>
                </wp:positionV>
                <wp:extent cx="2595904" cy="1086425"/>
                <wp:effectExtent l="0" t="0" r="1397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904" cy="10864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44C" w:rsidRPr="00AD59E9" w:rsidRDefault="0088044C" w:rsidP="00880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59E9">
                              <w:rPr>
                                <w:b/>
                              </w:rPr>
                              <w:t>Talk to MMT about organising a practice blood glucose meter Swap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margin-left:318.05pt;margin-top:-37.05pt;width:204.4pt;height:8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" fillcolor="#e46c0a" strokecolor="#385d8a" strokeweight="2pt">
                <v:textbox>
                  <w:txbxContent>
                    <w:p w:rsidR="0088044C" w:rsidRPr="00AD59E9" w:rsidRDefault="0088044C" w:rsidP="0088044C">
                      <w:pPr>
                        <w:jc w:val="center"/>
                        <w:rPr>
                          <w:b/>
                        </w:rPr>
                      </w:pPr>
                      <w:r w:rsidRPr="00AD59E9">
                        <w:rPr>
                          <w:b/>
                        </w:rPr>
                        <w:t>Talk to MMT about organising a practice blood glucose meter Swap Shop</w:t>
                      </w:r>
                    </w:p>
                  </w:txbxContent>
                </v:textbox>
              </v:oval>
            </w:pict>
          </mc:Fallback>
        </mc:AlternateContent>
      </w:r>
    </w:p>
    <w:p w:rsidR="0088044C" w:rsidRDefault="0088044C" w:rsidP="0088044C">
      <w:pPr>
        <w:rPr>
          <w:sz w:val="44"/>
          <w:szCs w:val="44"/>
        </w:rPr>
      </w:pPr>
      <w:r>
        <w:rPr>
          <w:sz w:val="44"/>
          <w:szCs w:val="44"/>
        </w:rPr>
        <w:t>GLP-1 (Glucagon-like peptide 1)</w:t>
      </w:r>
    </w:p>
    <w:p w:rsidR="0088044C" w:rsidRPr="006523E0" w:rsidRDefault="0088044C" w:rsidP="0088044C"/>
    <w:p w:rsidR="0088044C" w:rsidRDefault="0088044C" w:rsidP="0088044C">
      <w:pPr>
        <w:rPr>
          <w:sz w:val="28"/>
          <w:szCs w:val="28"/>
        </w:rPr>
      </w:pPr>
      <w:r w:rsidRPr="00802426">
        <w:rPr>
          <w:sz w:val="28"/>
          <w:szCs w:val="28"/>
        </w:rPr>
        <w:t>Glucagon-like peptide 1</w:t>
      </w:r>
      <w:r>
        <w:rPr>
          <w:sz w:val="28"/>
          <w:szCs w:val="28"/>
        </w:rPr>
        <w:t xml:space="preserve"> is a naturally</w:t>
      </w:r>
      <w:r w:rsidR="0050688A">
        <w:rPr>
          <w:sz w:val="28"/>
          <w:szCs w:val="28"/>
        </w:rPr>
        <w:t xml:space="preserve"> occurring peptide</w:t>
      </w:r>
      <w:r>
        <w:rPr>
          <w:sz w:val="28"/>
          <w:szCs w:val="28"/>
        </w:rPr>
        <w:t xml:space="preserve"> that ultimately stimulates insulin release. The GLP-1 drugs are modified versions of endogenous GLP-1 and range from 50% to 97% commonality with natural GLP-1.</w:t>
      </w:r>
    </w:p>
    <w:p w:rsidR="0088044C" w:rsidRDefault="0088044C" w:rsidP="0088044C">
      <w:pPr>
        <w:rPr>
          <w:sz w:val="28"/>
          <w:szCs w:val="28"/>
        </w:rPr>
      </w:pPr>
      <w:r w:rsidRPr="00E734C8">
        <w:rPr>
          <w:sz w:val="28"/>
          <w:szCs w:val="28"/>
        </w:rPr>
        <w:t xml:space="preserve">The </w:t>
      </w:r>
      <w:hyperlink r:id="rId13" w:anchor="Endocrine" w:history="1">
        <w:r w:rsidRPr="00A7579F">
          <w:rPr>
            <w:rStyle w:val="Hyperlink"/>
            <w:sz w:val="28"/>
            <w:szCs w:val="28"/>
          </w:rPr>
          <w:t>NHS Rotherham GLP-1 pathway</w:t>
        </w:r>
      </w:hyperlink>
      <w:r w:rsidRPr="00E734C8">
        <w:rPr>
          <w:sz w:val="28"/>
          <w:szCs w:val="28"/>
        </w:rPr>
        <w:t xml:space="preserve"> has been uploaded onto the CCGs </w:t>
      </w:r>
      <w:r>
        <w:rPr>
          <w:sz w:val="28"/>
          <w:szCs w:val="28"/>
        </w:rPr>
        <w:t>intranet (it prints best as A3 size).</w:t>
      </w:r>
    </w:p>
    <w:p w:rsidR="0088044C" w:rsidRPr="00AD59E9" w:rsidRDefault="0088044C" w:rsidP="0088044C">
      <w:pPr>
        <w:rPr>
          <w:sz w:val="16"/>
          <w:szCs w:val="16"/>
        </w:rPr>
      </w:pPr>
    </w:p>
    <w:p w:rsidR="0088044C" w:rsidRPr="00B13230" w:rsidRDefault="0088044C" w:rsidP="0088044C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B13230">
        <w:rPr>
          <w:b/>
          <w:color w:val="548DD4" w:themeColor="text2" w:themeTint="99"/>
          <w:sz w:val="32"/>
          <w:szCs w:val="32"/>
          <w:u w:val="single"/>
        </w:rPr>
        <w:t>GLP-1 summary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>GLP-1’s are more potent at HbA1c lowering than most oral antidiabetic drugs and cause weight loss.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 xml:space="preserve">Although relatively new drugs the trial data </w:t>
      </w:r>
      <w:r>
        <w:rPr>
          <w:sz w:val="28"/>
          <w:szCs w:val="28"/>
        </w:rPr>
        <w:t>to date has not demonstrated an</w:t>
      </w:r>
      <w:r w:rsidRPr="00AD59E9">
        <w:rPr>
          <w:sz w:val="28"/>
          <w:szCs w:val="28"/>
        </w:rPr>
        <w:t xml:space="preserve"> increase in cardiovascular end points, although as a class GLP-1’s may cause a moderate increase in heart rate, typically </w:t>
      </w:r>
      <w:r w:rsidR="00696A58">
        <w:rPr>
          <w:sz w:val="28"/>
          <w:szCs w:val="28"/>
        </w:rPr>
        <w:t xml:space="preserve">by </w:t>
      </w:r>
      <w:r w:rsidRPr="00AD59E9">
        <w:rPr>
          <w:sz w:val="28"/>
          <w:szCs w:val="28"/>
        </w:rPr>
        <w:t>less than 2 beats\minute</w:t>
      </w:r>
      <w:r>
        <w:rPr>
          <w:sz w:val="28"/>
          <w:szCs w:val="28"/>
        </w:rPr>
        <w:t>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>Once weekly GLP-1’s are better than daily at lowering HbA1c</w:t>
      </w:r>
      <w:r>
        <w:rPr>
          <w:sz w:val="28"/>
          <w:szCs w:val="28"/>
        </w:rPr>
        <w:t>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>Daily GLP-1’s are better at lowering postprandial blood glucose and promoting satiety.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>Daily GLP-1’s have more central side effects such as dizziness, fatigue, drowsiness, headache.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 xml:space="preserve">All GLP-1’s have GI side effects such as dyspepsia, reflux, abdominal distention &amp; pain, nausea, vomiting, </w:t>
      </w:r>
      <w:r>
        <w:rPr>
          <w:sz w:val="28"/>
          <w:szCs w:val="28"/>
        </w:rPr>
        <w:t>diarrhoea and</w:t>
      </w:r>
      <w:r w:rsidRPr="00AD59E9">
        <w:rPr>
          <w:sz w:val="28"/>
          <w:szCs w:val="28"/>
        </w:rPr>
        <w:t xml:space="preserve"> constipation.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 xml:space="preserve">GLP-1’s can be used as monotherapy </w:t>
      </w:r>
      <w:r>
        <w:rPr>
          <w:sz w:val="28"/>
          <w:szCs w:val="28"/>
        </w:rPr>
        <w:t>or</w:t>
      </w:r>
      <w:r w:rsidRPr="00AD59E9">
        <w:rPr>
          <w:sz w:val="28"/>
          <w:szCs w:val="28"/>
        </w:rPr>
        <w:t xml:space="preserve"> in combination with metformin, SGLT-2’s (</w:t>
      </w:r>
      <w:proofErr w:type="spellStart"/>
      <w:r w:rsidRPr="00AD59E9">
        <w:rPr>
          <w:sz w:val="28"/>
          <w:szCs w:val="28"/>
        </w:rPr>
        <w:t>Flozi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Sulphonylureas</w:t>
      </w:r>
      <w:proofErr w:type="spellEnd"/>
      <w:r>
        <w:rPr>
          <w:sz w:val="28"/>
          <w:szCs w:val="28"/>
        </w:rPr>
        <w:t>, pioglitazone</w:t>
      </w:r>
      <w:r w:rsidRPr="00AD59E9">
        <w:rPr>
          <w:sz w:val="28"/>
          <w:szCs w:val="28"/>
        </w:rPr>
        <w:t xml:space="preserve"> and insulins.</w:t>
      </w:r>
    </w:p>
    <w:p w:rsidR="0088044C" w:rsidRPr="00AD59E9" w:rsidRDefault="0088044C" w:rsidP="008804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59E9">
        <w:rPr>
          <w:sz w:val="28"/>
          <w:szCs w:val="28"/>
        </w:rPr>
        <w:t>The use of GLP-1’s in combination with other antidiabetic drugs depends on the</w:t>
      </w:r>
      <w:r w:rsidR="00735320">
        <w:rPr>
          <w:sz w:val="28"/>
          <w:szCs w:val="28"/>
        </w:rPr>
        <w:t>ir</w:t>
      </w:r>
      <w:r w:rsidRPr="00AD59E9">
        <w:rPr>
          <w:sz w:val="28"/>
          <w:szCs w:val="28"/>
        </w:rPr>
        <w:t xml:space="preserve"> individual license. </w:t>
      </w:r>
      <w:r>
        <w:rPr>
          <w:sz w:val="28"/>
          <w:szCs w:val="28"/>
        </w:rPr>
        <w:t xml:space="preserve"> </w:t>
      </w:r>
      <w:r w:rsidRPr="00AD59E9">
        <w:rPr>
          <w:sz w:val="28"/>
          <w:szCs w:val="28"/>
        </w:rPr>
        <w:t>Follow the Rotherham GLP-1 pathway to prevent the use of unlicensed combinations.</w:t>
      </w:r>
    </w:p>
    <w:p w:rsidR="0088044C" w:rsidRPr="00AD59E9" w:rsidRDefault="0088044C" w:rsidP="008804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59E9">
        <w:rPr>
          <w:sz w:val="28"/>
          <w:szCs w:val="28"/>
        </w:rPr>
        <w:t xml:space="preserve">Do not prescribe a GLP-1 in combination with a DPP4-I (Gliptin) as they both work on the same pathway. GLP-1’s stimulate </w:t>
      </w:r>
      <w:proofErr w:type="spellStart"/>
      <w:r w:rsidRPr="00AD59E9">
        <w:rPr>
          <w:sz w:val="28"/>
          <w:szCs w:val="28"/>
        </w:rPr>
        <w:t>incretin</w:t>
      </w:r>
      <w:proofErr w:type="spellEnd"/>
      <w:r w:rsidRPr="00AD59E9">
        <w:rPr>
          <w:sz w:val="28"/>
          <w:szCs w:val="28"/>
        </w:rPr>
        <w:t xml:space="preserve"> which stimulates insulin release. A DDP-4I (Gliptin) prevents the breakdown of endogenous GLP-1. There is no </w:t>
      </w:r>
      <w:r>
        <w:rPr>
          <w:sz w:val="28"/>
          <w:szCs w:val="28"/>
        </w:rPr>
        <w:t>synergy between the GLP-1</w:t>
      </w:r>
      <w:r w:rsidR="00696A58">
        <w:rPr>
          <w:sz w:val="28"/>
          <w:szCs w:val="28"/>
        </w:rPr>
        <w:t>’s</w:t>
      </w:r>
      <w:r>
        <w:rPr>
          <w:sz w:val="28"/>
          <w:szCs w:val="28"/>
        </w:rPr>
        <w:t xml:space="preserve"> and DDP</w:t>
      </w:r>
      <w:r w:rsidRPr="00AD59E9">
        <w:rPr>
          <w:sz w:val="28"/>
          <w:szCs w:val="28"/>
        </w:rPr>
        <w:t>-4I</w:t>
      </w:r>
      <w:r w:rsidR="00696A58">
        <w:rPr>
          <w:sz w:val="28"/>
          <w:szCs w:val="28"/>
        </w:rPr>
        <w:t>’s</w:t>
      </w:r>
      <w:r w:rsidRPr="00AD59E9">
        <w:rPr>
          <w:sz w:val="28"/>
          <w:szCs w:val="28"/>
        </w:rPr>
        <w:t xml:space="preserve"> (Gliptin) therefore there is no benefit in using the two together.</w:t>
      </w:r>
    </w:p>
    <w:p w:rsidR="00376B7D" w:rsidRDefault="00965FE0" w:rsidP="009C1536">
      <w:r w:rsidRPr="00AD59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B3B56" wp14:editId="22D04017">
                <wp:simplePos x="0" y="0"/>
                <wp:positionH relativeFrom="column">
                  <wp:posOffset>3211195</wp:posOffset>
                </wp:positionH>
                <wp:positionV relativeFrom="paragraph">
                  <wp:posOffset>520700</wp:posOffset>
                </wp:positionV>
                <wp:extent cx="3622675" cy="2173605"/>
                <wp:effectExtent l="0" t="0" r="158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CE" w:rsidRDefault="0088044C" w:rsidP="0088044C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E1572">
                              <w:rPr>
                                <w:b/>
                              </w:rPr>
                              <w:t xml:space="preserve">Metformin </w:t>
                            </w:r>
                            <w:r w:rsidR="00941CCE">
                              <w:rPr>
                                <w:b/>
                              </w:rPr>
                              <w:t xml:space="preserve">+ </w:t>
                            </w:r>
                            <w:proofErr w:type="spellStart"/>
                            <w:r w:rsidR="00941CCE">
                              <w:rPr>
                                <w:b/>
                              </w:rPr>
                              <w:t>Linagliptin</w:t>
                            </w:r>
                            <w:proofErr w:type="spellEnd"/>
                            <w:r w:rsidR="00941CCE">
                              <w:rPr>
                                <w:b/>
                              </w:rPr>
                              <w:t xml:space="preserve"> + </w:t>
                            </w:r>
                            <w:proofErr w:type="spellStart"/>
                            <w:r w:rsidR="00941CCE">
                              <w:rPr>
                                <w:b/>
                              </w:rPr>
                              <w:t>Empagliflozin</w:t>
                            </w:r>
                            <w:proofErr w:type="spellEnd"/>
                            <w:r w:rsidR="00941CC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41CCE">
                              <w:rPr>
                                <w:b/>
                              </w:rPr>
                              <w:t>a</w:t>
                            </w:r>
                            <w:r w:rsidRPr="006E1572">
                              <w:rPr>
                                <w:b/>
                              </w:rPr>
                              <w:t>successful</w:t>
                            </w:r>
                            <w:proofErr w:type="spellEnd"/>
                            <w:r w:rsidRPr="006E1572">
                              <w:rPr>
                                <w:b/>
                              </w:rPr>
                              <w:t xml:space="preserve"> combination.</w:t>
                            </w:r>
                            <w:proofErr w:type="gramEnd"/>
                            <w:r w:rsidR="00941CCE">
                              <w:rPr>
                                <w:b/>
                              </w:rPr>
                              <w:t xml:space="preserve">                  </w:t>
                            </w:r>
                            <w:bookmarkStart w:id="0" w:name="_GoBack"/>
                            <w:bookmarkEnd w:id="0"/>
                            <w:r w:rsidR="00941CCE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941CCE" w:rsidRDefault="00941CCE" w:rsidP="0088044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8044C" w:rsidRPr="00941CCE" w:rsidRDefault="0088044C" w:rsidP="0088044C">
                            <w:pPr>
                              <w:rPr>
                                <w:b/>
                              </w:rPr>
                            </w:pPr>
                            <w:r w:rsidRPr="006E1572">
                              <w:t>The Rotherham</w:t>
                            </w:r>
                            <w:r>
                              <w:t xml:space="preserve"> diabetes </w:t>
                            </w:r>
                            <w:r w:rsidRPr="006E1572">
                              <w:t xml:space="preserve">guidelines </w:t>
                            </w:r>
                            <w:r>
                              <w:t xml:space="preserve">recommend these three agents in this order. A recent double blind study evaluated the addition of </w:t>
                            </w:r>
                            <w:proofErr w:type="spellStart"/>
                            <w:r>
                              <w:t>empagliflozin</w:t>
                            </w:r>
                            <w:proofErr w:type="spellEnd"/>
                            <w:r>
                              <w:t xml:space="preserve"> or placebo to patients already taking metformin &amp; </w:t>
                            </w:r>
                            <w:proofErr w:type="spellStart"/>
                            <w:r>
                              <w:t>linagliptin</w:t>
                            </w:r>
                            <w:proofErr w:type="spellEnd"/>
                            <w:r>
                              <w:t xml:space="preserve">. After 24 weeks </w:t>
                            </w:r>
                            <w:proofErr w:type="spellStart"/>
                            <w:r>
                              <w:t>empagliflozin</w:t>
                            </w:r>
                            <w:proofErr w:type="spellEnd"/>
                            <w:r>
                              <w:t xml:space="preserve"> significantly reduced HbA1c (-0.79%) compared to placebo. Fasting blood glucose and weight loss were significantly reduced with </w:t>
                            </w:r>
                            <w:proofErr w:type="spellStart"/>
                            <w:r>
                              <w:t>empagliflozin</w:t>
                            </w:r>
                            <w:proofErr w:type="spellEnd"/>
                            <w:r>
                              <w:t xml:space="preserve"> and more patients taking placebo (68.2%) reported adverse effects than with </w:t>
                            </w:r>
                            <w:proofErr w:type="spellStart"/>
                            <w:r>
                              <w:t>emapgliflozin</w:t>
                            </w:r>
                            <w:proofErr w:type="spellEnd"/>
                            <w:r>
                              <w:t xml:space="preserve"> (51.8-55.4%) </w:t>
                            </w:r>
                            <w:r w:rsidRPr="00AD59E9">
                              <w:rPr>
                                <w:color w:val="0070C0"/>
                                <w:sz w:val="16"/>
                                <w:szCs w:val="16"/>
                              </w:rPr>
                              <w:t>Diabetes Care 2016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dc 16-1347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85pt;margin-top:41pt;width:285.25pt;height:17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">
                <v:textbox>
                  <w:txbxContent>
                    <w:p w:rsidR="00941CCE" w:rsidRDefault="0088044C" w:rsidP="0088044C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 w:rsidRPr="006E1572">
                        <w:rPr>
                          <w:b/>
                        </w:rPr>
                        <w:t xml:space="preserve">Metformin </w:t>
                      </w:r>
                      <w:r w:rsidR="00941CCE">
                        <w:rPr>
                          <w:b/>
                        </w:rPr>
                        <w:t xml:space="preserve">+ </w:t>
                      </w:r>
                      <w:proofErr w:type="spellStart"/>
                      <w:r w:rsidR="00941CCE">
                        <w:rPr>
                          <w:b/>
                        </w:rPr>
                        <w:t>Linagliptin</w:t>
                      </w:r>
                      <w:proofErr w:type="spellEnd"/>
                      <w:r w:rsidR="00941CCE">
                        <w:rPr>
                          <w:b/>
                        </w:rPr>
                        <w:t xml:space="preserve"> + </w:t>
                      </w:r>
                      <w:proofErr w:type="spellStart"/>
                      <w:r w:rsidR="00941CCE">
                        <w:rPr>
                          <w:b/>
                        </w:rPr>
                        <w:t>Empagliflozin</w:t>
                      </w:r>
                      <w:proofErr w:type="spellEnd"/>
                      <w:r w:rsidR="00941CC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41CCE">
                        <w:rPr>
                          <w:b/>
                        </w:rPr>
                        <w:t>a</w:t>
                      </w:r>
                      <w:r w:rsidRPr="006E1572">
                        <w:rPr>
                          <w:b/>
                        </w:rPr>
                        <w:t>successful</w:t>
                      </w:r>
                      <w:proofErr w:type="spellEnd"/>
                      <w:r w:rsidRPr="006E1572">
                        <w:rPr>
                          <w:b/>
                        </w:rPr>
                        <w:t xml:space="preserve"> combination.</w:t>
                      </w:r>
                      <w:proofErr w:type="gramEnd"/>
                      <w:r w:rsidR="00941CCE">
                        <w:rPr>
                          <w:b/>
                        </w:rPr>
                        <w:t xml:space="preserve">                                      </w:t>
                      </w:r>
                    </w:p>
                    <w:p w:rsidR="00941CCE" w:rsidRDefault="00941CCE" w:rsidP="0088044C">
                      <w:pPr>
                        <w:rPr>
                          <w:b/>
                          <w:color w:val="FF0000"/>
                        </w:rPr>
                      </w:pPr>
                    </w:p>
                    <w:p w:rsidR="0088044C" w:rsidRPr="00941CCE" w:rsidRDefault="0088044C" w:rsidP="0088044C">
                      <w:pPr>
                        <w:rPr>
                          <w:b/>
                        </w:rPr>
                      </w:pPr>
                      <w:r w:rsidRPr="006E1572">
                        <w:t>The Rotherham</w:t>
                      </w:r>
                      <w:r>
                        <w:t xml:space="preserve"> diabetes </w:t>
                      </w:r>
                      <w:r w:rsidRPr="006E1572">
                        <w:t xml:space="preserve">guidelines </w:t>
                      </w:r>
                      <w:r>
                        <w:t xml:space="preserve">recommend these three agents in this order. A recent double blind study evaluated the addition of </w:t>
                      </w:r>
                      <w:proofErr w:type="spellStart"/>
                      <w:r>
                        <w:t>empagliflozin</w:t>
                      </w:r>
                      <w:proofErr w:type="spellEnd"/>
                      <w:r>
                        <w:t xml:space="preserve"> or placebo to patients already taking metformin &amp; </w:t>
                      </w:r>
                      <w:proofErr w:type="spellStart"/>
                      <w:r>
                        <w:t>linagliptin</w:t>
                      </w:r>
                      <w:proofErr w:type="spellEnd"/>
                      <w:r>
                        <w:t xml:space="preserve">. After 24 weeks </w:t>
                      </w:r>
                      <w:proofErr w:type="spellStart"/>
                      <w:r>
                        <w:t>empagliflozin</w:t>
                      </w:r>
                      <w:proofErr w:type="spellEnd"/>
                      <w:r>
                        <w:t xml:space="preserve"> significantly reduced HbA1c (-0.79%) compared to placebo. Fasting blood glucose and weight loss were significantly reduced with </w:t>
                      </w:r>
                      <w:proofErr w:type="spellStart"/>
                      <w:r>
                        <w:t>empagliflozin</w:t>
                      </w:r>
                      <w:proofErr w:type="spellEnd"/>
                      <w:r>
                        <w:t xml:space="preserve"> and more patients taking placebo (68.2%) reported adverse effects than with </w:t>
                      </w:r>
                      <w:proofErr w:type="spellStart"/>
                      <w:r>
                        <w:t>emapgliflozin</w:t>
                      </w:r>
                      <w:proofErr w:type="spellEnd"/>
                      <w:r>
                        <w:t xml:space="preserve"> (51.8-55.4%) </w:t>
                      </w:r>
                      <w:r w:rsidRPr="00AD59E9">
                        <w:rPr>
                          <w:color w:val="0070C0"/>
                          <w:sz w:val="16"/>
                          <w:szCs w:val="16"/>
                        </w:rPr>
                        <w:t>Diabetes Care 2016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dc 16-1347</w:t>
                      </w:r>
                    </w:p>
                  </w:txbxContent>
                </v:textbox>
              </v:shape>
            </w:pict>
          </mc:Fallback>
        </mc:AlternateContent>
      </w:r>
      <w:r w:rsidRPr="00AD59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3E51A" wp14:editId="04A8D085">
                <wp:simplePos x="0" y="0"/>
                <wp:positionH relativeFrom="column">
                  <wp:posOffset>62230</wp:posOffset>
                </wp:positionH>
                <wp:positionV relativeFrom="paragraph">
                  <wp:posOffset>517525</wp:posOffset>
                </wp:positionV>
                <wp:extent cx="3053715" cy="2173605"/>
                <wp:effectExtent l="0" t="0" r="1333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4C" w:rsidRDefault="0088044C" w:rsidP="0088044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8A6E82">
                              <w:rPr>
                                <w:b/>
                              </w:rPr>
                              <w:t>Sulphonylureas</w:t>
                            </w:r>
                            <w:proofErr w:type="spellEnd"/>
                            <w:r w:rsidRPr="008A6E82">
                              <w:rPr>
                                <w:b/>
                              </w:rPr>
                              <w:t xml:space="preserve"> and Cardiovascular events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88044C" w:rsidRPr="009B0A21" w:rsidRDefault="0088044C" w:rsidP="0088044C">
                            <w:r w:rsidRPr="009B0A21">
                              <w:t>NICE guidance; Type 2 diabetes i</w:t>
                            </w:r>
                            <w:r>
                              <w:t>n adults management (July 2016)</w:t>
                            </w:r>
                            <w:r w:rsidRPr="009B0A21">
                              <w:t xml:space="preserve"> </w:t>
                            </w:r>
                            <w:r>
                              <w:t>c</w:t>
                            </w:r>
                            <w:r w:rsidRPr="009B0A21">
                              <w:t xml:space="preserve">oncluded that </w:t>
                            </w:r>
                            <w:proofErr w:type="spellStart"/>
                            <w:r w:rsidRPr="009B0A21">
                              <w:t>sulphonylureas</w:t>
                            </w:r>
                            <w:proofErr w:type="spellEnd"/>
                            <w:r w:rsidRPr="009B0A21">
                              <w:t xml:space="preserve"> (SU) are cardiovascular neutral. However, a recent meta-analysis </w:t>
                            </w:r>
                            <w:r w:rsidR="00941CCE">
                              <w:t>of 108 trials with SU’s</w:t>
                            </w:r>
                            <w:r>
                              <w:t xml:space="preserve"> o</w:t>
                            </w:r>
                            <w:r w:rsidRPr="009B0A21">
                              <w:t>bserved that the risk of an MI was significantly higher with an SU than a DDP-4I (Gliptin) or a SGLT2 (</w:t>
                            </w:r>
                            <w:proofErr w:type="spellStart"/>
                            <w:r w:rsidRPr="009B0A21">
                              <w:t>Flozin</w:t>
                            </w:r>
                            <w:proofErr w:type="spellEnd"/>
                            <w:r w:rsidRPr="009B0A21">
                              <w:t>)</w:t>
                            </w:r>
                            <w:r w:rsidR="00941CCE">
                              <w:t>.</w:t>
                            </w:r>
                            <w:r w:rsidRPr="009B0A21">
                              <w:t xml:space="preserve"> The risk of stroke was significantly higher with an SU than a DDP-4I (Gliptin) GLP-1 pioglitazone and insulin.</w:t>
                            </w:r>
                          </w:p>
                          <w:p w:rsidR="0088044C" w:rsidRPr="009B0A21" w:rsidRDefault="0088044C" w:rsidP="0088044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B0A21">
                              <w:rPr>
                                <w:color w:val="0070C0"/>
                                <w:sz w:val="16"/>
                                <w:szCs w:val="16"/>
                              </w:rPr>
                              <w:t>DOI 10.1111/dom.12821 – 23/12/2016 Wiley online</w:t>
                            </w:r>
                          </w:p>
                          <w:p w:rsidR="0088044C" w:rsidRPr="008A6E82" w:rsidRDefault="0088044C" w:rsidP="008804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9pt;margin-top:40.75pt;width:240.45pt;height:1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">
                <v:textbox>
                  <w:txbxContent>
                    <w:p w:rsidR="0088044C" w:rsidRDefault="0088044C" w:rsidP="0088044C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8A6E82">
                        <w:rPr>
                          <w:b/>
                        </w:rPr>
                        <w:t>Sulphonylureas</w:t>
                      </w:r>
                      <w:proofErr w:type="spellEnd"/>
                      <w:r w:rsidRPr="008A6E82">
                        <w:rPr>
                          <w:b/>
                        </w:rPr>
                        <w:t xml:space="preserve"> and Cardiovascular events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88044C" w:rsidRPr="009B0A21" w:rsidRDefault="0088044C" w:rsidP="0088044C">
                      <w:r w:rsidRPr="009B0A21">
                        <w:t>NICE guidance; Type 2 diabetes i</w:t>
                      </w:r>
                      <w:r>
                        <w:t>n adults management (July 2016)</w:t>
                      </w:r>
                      <w:r w:rsidRPr="009B0A21">
                        <w:t xml:space="preserve"> </w:t>
                      </w:r>
                      <w:r>
                        <w:t>c</w:t>
                      </w:r>
                      <w:r w:rsidRPr="009B0A21">
                        <w:t xml:space="preserve">oncluded that </w:t>
                      </w:r>
                      <w:proofErr w:type="spellStart"/>
                      <w:r w:rsidRPr="009B0A21">
                        <w:t>sulphonylureas</w:t>
                      </w:r>
                      <w:proofErr w:type="spellEnd"/>
                      <w:r w:rsidRPr="009B0A21">
                        <w:t xml:space="preserve"> (SU) are cardiovascular neutral. However, a recent meta-analysis </w:t>
                      </w:r>
                      <w:r w:rsidR="00941CCE">
                        <w:t>of 108 trials with SU’s</w:t>
                      </w:r>
                      <w:r>
                        <w:t xml:space="preserve"> o</w:t>
                      </w:r>
                      <w:r w:rsidRPr="009B0A21">
                        <w:t>bserved that the risk of an MI was significantly higher with an SU than a DDP-4I (Gliptin) or a SGLT2 (</w:t>
                      </w:r>
                      <w:proofErr w:type="spellStart"/>
                      <w:r w:rsidRPr="009B0A21">
                        <w:t>Flozin</w:t>
                      </w:r>
                      <w:proofErr w:type="spellEnd"/>
                      <w:r w:rsidRPr="009B0A21">
                        <w:t>)</w:t>
                      </w:r>
                      <w:r w:rsidR="00941CCE">
                        <w:t>.</w:t>
                      </w:r>
                      <w:r w:rsidRPr="009B0A21">
                        <w:t xml:space="preserve"> The risk of stroke was significantly higher with an SU than a DDP-4I (Gliptin) GLP-1 pioglitazone and insulin.</w:t>
                      </w:r>
                    </w:p>
                    <w:p w:rsidR="0088044C" w:rsidRPr="009B0A21" w:rsidRDefault="0088044C" w:rsidP="0088044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9B0A21">
                        <w:rPr>
                          <w:color w:val="0070C0"/>
                          <w:sz w:val="16"/>
                          <w:szCs w:val="16"/>
                        </w:rPr>
                        <w:t>DOI 10.1111/dom.12821 – 23/12/2016 Wiley online</w:t>
                      </w:r>
                    </w:p>
                    <w:p w:rsidR="0088044C" w:rsidRPr="008A6E82" w:rsidRDefault="0088044C" w:rsidP="008804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9E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42907" wp14:editId="46B6D08B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6685280" cy="439420"/>
                <wp:effectExtent l="0" t="0" r="2032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394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4C" w:rsidRPr="00802426" w:rsidRDefault="0088044C" w:rsidP="00880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2426">
                              <w:rPr>
                                <w:b/>
                              </w:rPr>
                              <w:t>Contact the medicine management team</w:t>
                            </w:r>
                            <w:r>
                              <w:rPr>
                                <w:b/>
                              </w:rPr>
                              <w:t xml:space="preserve"> if you would like the GLP-1 pathway presented/discussed at a practice PLT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.9pt;margin-top:.7pt;width:526.4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" fillcolor="#e6e0ec">
                <v:textbox>
                  <w:txbxContent>
                    <w:p w:rsidR="0088044C" w:rsidRPr="00802426" w:rsidRDefault="0088044C" w:rsidP="0088044C">
                      <w:pPr>
                        <w:jc w:val="center"/>
                        <w:rPr>
                          <w:b/>
                        </w:rPr>
                      </w:pPr>
                      <w:r w:rsidRPr="00802426">
                        <w:rPr>
                          <w:b/>
                        </w:rPr>
                        <w:t>Contact the medicine management team</w:t>
                      </w:r>
                      <w:r>
                        <w:rPr>
                          <w:b/>
                        </w:rPr>
                        <w:t xml:space="preserve"> if you would like the GLP-1 pathway presented/discussed at a practice PLT</w:t>
                      </w:r>
                    </w:p>
                  </w:txbxContent>
                </v:textbox>
              </v:shape>
            </w:pict>
          </mc:Fallback>
        </mc:AlternateContent>
      </w:r>
      <w:r w:rsidR="00941CC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F57E3" wp14:editId="0FCB4C33">
                <wp:simplePos x="0" y="0"/>
                <wp:positionH relativeFrom="column">
                  <wp:posOffset>6014876</wp:posOffset>
                </wp:positionH>
                <wp:positionV relativeFrom="paragraph">
                  <wp:posOffset>607156</wp:posOffset>
                </wp:positionV>
                <wp:extent cx="733053" cy="448358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53" cy="44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CE" w:rsidRPr="00941CCE" w:rsidRDefault="00941CCE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1CCE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73.6pt;margin-top:47.8pt;width:57.7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" fillcolor="white [3201]" stroked="f" strokeweight=".5pt">
                <v:textbox>
                  <w:txbxContent>
                    <w:p w:rsidR="00941CCE" w:rsidRPr="00941CCE" w:rsidRDefault="00941CCE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1CCE">
                        <w:rPr>
                          <w:b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sectPr w:rsidR="00376B7D" w:rsidSect="00376B7D">
      <w:type w:val="continuous"/>
      <w:pgSz w:w="11906" w:h="16838"/>
      <w:pgMar w:top="567" w:right="567" w:bottom="567" w:left="567" w:header="709" w:footer="709" w:gutter="0"/>
      <w:pgBorders w:offsetFrom="page">
        <w:top w:val="thinThickSmallGap" w:sz="24" w:space="24" w:color="00682F"/>
        <w:left w:val="thinThickSmallGap" w:sz="24" w:space="24" w:color="00682F"/>
        <w:bottom w:val="thickThinSmallGap" w:sz="24" w:space="24" w:color="00682F"/>
        <w:right w:val="thickThinSmallGap" w:sz="24" w:space="24" w:color="00682F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7B"/>
    <w:multiLevelType w:val="hybridMultilevel"/>
    <w:tmpl w:val="7500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D8F"/>
    <w:multiLevelType w:val="hybridMultilevel"/>
    <w:tmpl w:val="8ED8775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0DC184D"/>
    <w:multiLevelType w:val="hybridMultilevel"/>
    <w:tmpl w:val="D7F8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4A64"/>
    <w:multiLevelType w:val="hybridMultilevel"/>
    <w:tmpl w:val="60F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C24E3"/>
    <w:multiLevelType w:val="hybridMultilevel"/>
    <w:tmpl w:val="C2CE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FFE"/>
    <w:multiLevelType w:val="hybridMultilevel"/>
    <w:tmpl w:val="9E6E54CC"/>
    <w:lvl w:ilvl="0" w:tplc="9E42B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36FF"/>
    <w:multiLevelType w:val="hybridMultilevel"/>
    <w:tmpl w:val="14FC6F52"/>
    <w:lvl w:ilvl="0" w:tplc="9E42B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8"/>
    <w:rsid w:val="000160FC"/>
    <w:rsid w:val="00021AC4"/>
    <w:rsid w:val="000335EC"/>
    <w:rsid w:val="000644AF"/>
    <w:rsid w:val="000C0E6E"/>
    <w:rsid w:val="000E08CE"/>
    <w:rsid w:val="0011784A"/>
    <w:rsid w:val="001201CA"/>
    <w:rsid w:val="001415A3"/>
    <w:rsid w:val="0014551D"/>
    <w:rsid w:val="001912C6"/>
    <w:rsid w:val="001C6748"/>
    <w:rsid w:val="001D2273"/>
    <w:rsid w:val="001E3E91"/>
    <w:rsid w:val="00264AB8"/>
    <w:rsid w:val="002A5C9B"/>
    <w:rsid w:val="002D231E"/>
    <w:rsid w:val="002F13D6"/>
    <w:rsid w:val="003347A7"/>
    <w:rsid w:val="00376B7D"/>
    <w:rsid w:val="003B5140"/>
    <w:rsid w:val="003C3789"/>
    <w:rsid w:val="004165F5"/>
    <w:rsid w:val="0042341A"/>
    <w:rsid w:val="0047119F"/>
    <w:rsid w:val="004A6F37"/>
    <w:rsid w:val="0050688A"/>
    <w:rsid w:val="00571080"/>
    <w:rsid w:val="0059588D"/>
    <w:rsid w:val="005C3B80"/>
    <w:rsid w:val="005D06FC"/>
    <w:rsid w:val="00603C2D"/>
    <w:rsid w:val="00606FA0"/>
    <w:rsid w:val="006523E0"/>
    <w:rsid w:val="00696A58"/>
    <w:rsid w:val="006B3D89"/>
    <w:rsid w:val="00731BB0"/>
    <w:rsid w:val="00735320"/>
    <w:rsid w:val="00776F71"/>
    <w:rsid w:val="0079006A"/>
    <w:rsid w:val="007D59F2"/>
    <w:rsid w:val="0088044C"/>
    <w:rsid w:val="008E4658"/>
    <w:rsid w:val="008F148E"/>
    <w:rsid w:val="00910099"/>
    <w:rsid w:val="00941CCE"/>
    <w:rsid w:val="00956E8D"/>
    <w:rsid w:val="00965FE0"/>
    <w:rsid w:val="009C0E42"/>
    <w:rsid w:val="009C1536"/>
    <w:rsid w:val="009E10F0"/>
    <w:rsid w:val="00A056B0"/>
    <w:rsid w:val="00A1362B"/>
    <w:rsid w:val="00A16846"/>
    <w:rsid w:val="00A7579F"/>
    <w:rsid w:val="00A94973"/>
    <w:rsid w:val="00A97DA0"/>
    <w:rsid w:val="00AA0A25"/>
    <w:rsid w:val="00AE27A1"/>
    <w:rsid w:val="00B066FE"/>
    <w:rsid w:val="00B17429"/>
    <w:rsid w:val="00B17CC7"/>
    <w:rsid w:val="00C2172B"/>
    <w:rsid w:val="00C63CB5"/>
    <w:rsid w:val="00C647CC"/>
    <w:rsid w:val="00C65FE2"/>
    <w:rsid w:val="00C66E67"/>
    <w:rsid w:val="00CA1912"/>
    <w:rsid w:val="00CE53D6"/>
    <w:rsid w:val="00D6645E"/>
    <w:rsid w:val="00D9315A"/>
    <w:rsid w:val="00E22700"/>
    <w:rsid w:val="00E63497"/>
    <w:rsid w:val="00EF60A7"/>
    <w:rsid w:val="00F02BCF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0A7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0A7"/>
    <w:rPr>
      <w:rFonts w:ascii="Calibri" w:hAnsi="Calibri"/>
    </w:rPr>
  </w:style>
  <w:style w:type="paragraph" w:styleId="NoSpacing">
    <w:name w:val="No Spacing"/>
    <w:uiPriority w:val="1"/>
    <w:qFormat/>
    <w:rsid w:val="00571080"/>
  </w:style>
  <w:style w:type="paragraph" w:styleId="ListParagraph">
    <w:name w:val="List Paragraph"/>
    <w:basedOn w:val="Normal"/>
    <w:uiPriority w:val="34"/>
    <w:qFormat/>
    <w:rsid w:val="00C2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0A7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0A7"/>
    <w:rPr>
      <w:rFonts w:ascii="Calibri" w:hAnsi="Calibri"/>
    </w:rPr>
  </w:style>
  <w:style w:type="paragraph" w:styleId="NoSpacing">
    <w:name w:val="No Spacing"/>
    <w:uiPriority w:val="1"/>
    <w:qFormat/>
    <w:rsid w:val="00571080"/>
  </w:style>
  <w:style w:type="paragraph" w:styleId="ListParagraph">
    <w:name w:val="List Paragraph"/>
    <w:basedOn w:val="Normal"/>
    <w:uiPriority w:val="34"/>
    <w:qFormat/>
    <w:rsid w:val="00C2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therhamccg.nhs.uk/therapeutic-guideline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tuart.lakin@rotherhamccg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art.lakin@rotherhamccg.nhs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herhamccg.nhs.uk/therapeutic-guidelin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herhamccg.nhs.uk/therapeutic-guidelin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5542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578C-BD04-4943-BCE3-2F104701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Jknott</dc:creator>
  <cp:lastModifiedBy>Windows User</cp:lastModifiedBy>
  <cp:revision>6</cp:revision>
  <cp:lastPrinted>2010-08-02T15:40:00Z</cp:lastPrinted>
  <dcterms:created xsi:type="dcterms:W3CDTF">2017-01-31T15:24:00Z</dcterms:created>
  <dcterms:modified xsi:type="dcterms:W3CDTF">2017-01-31T16:33:00Z</dcterms:modified>
</cp:coreProperties>
</file>