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52"/>
        <w:gridCol w:w="7030"/>
      </w:tblGrid>
      <w:tr w:rsidR="00502D8E" w:rsidRPr="007C5438" w:rsidTr="00556A4F">
        <w:tc>
          <w:tcPr>
            <w:tcW w:w="10682" w:type="dxa"/>
            <w:gridSpan w:val="2"/>
            <w:shd w:val="clear" w:color="auto" w:fill="E5DFEC" w:themeFill="accent4" w:themeFillTint="33"/>
          </w:tcPr>
          <w:p w:rsidR="00502D8E" w:rsidRPr="00556A4F" w:rsidRDefault="00502D8E" w:rsidP="00502D8E">
            <w:pPr>
              <w:rPr>
                <w:b/>
                <w:sz w:val="28"/>
              </w:rPr>
            </w:pPr>
            <w:bookmarkStart w:id="0" w:name="_GoBack"/>
            <w:bookmarkEnd w:id="0"/>
            <w:r w:rsidRPr="00556A4F">
              <w:rPr>
                <w:b/>
                <w:sz w:val="28"/>
              </w:rPr>
              <w:t xml:space="preserve">Patient and public participation assessment and planning form </w:t>
            </w:r>
          </w:p>
          <w:p w:rsidR="00502D8E" w:rsidRPr="007C5438" w:rsidRDefault="00502D8E" w:rsidP="00AD4322"/>
        </w:tc>
      </w:tr>
      <w:tr w:rsidR="00502D8E" w:rsidRPr="007C5438" w:rsidTr="00FA0CF6">
        <w:tc>
          <w:tcPr>
            <w:tcW w:w="10682" w:type="dxa"/>
            <w:gridSpan w:val="2"/>
          </w:tcPr>
          <w:p w:rsidR="00556A4F" w:rsidRPr="00556A4F" w:rsidRDefault="00556A4F" w:rsidP="00556A4F">
            <w:pPr>
              <w:rPr>
                <w:b/>
              </w:rPr>
            </w:pPr>
            <w:r w:rsidRPr="00556A4F">
              <w:rPr>
                <w:b/>
              </w:rPr>
              <w:t>For info – why this form</w:t>
            </w:r>
          </w:p>
          <w:p w:rsidR="00502D8E" w:rsidRDefault="00502D8E" w:rsidP="00556A4F">
            <w:pPr>
              <w:pStyle w:val="ListParagraph"/>
              <w:numPr>
                <w:ilvl w:val="0"/>
                <w:numId w:val="1"/>
              </w:numPr>
            </w:pPr>
            <w:r>
              <w:t xml:space="preserve">NHS commissioners have legal duties </w:t>
            </w:r>
          </w:p>
          <w:p w:rsidR="00502D8E" w:rsidRDefault="00502D8E" w:rsidP="00502D8E">
            <w:pPr>
              <w:pStyle w:val="ListParagraph"/>
              <w:numPr>
                <w:ilvl w:val="1"/>
                <w:numId w:val="1"/>
              </w:numPr>
            </w:pPr>
            <w:proofErr w:type="gramStart"/>
            <w:r>
              <w:t>to</w:t>
            </w:r>
            <w:proofErr w:type="gramEnd"/>
            <w:r>
              <w:t xml:space="preserve"> ‘make arrangements’ to involve the public in commissioning. </w:t>
            </w:r>
          </w:p>
          <w:p w:rsidR="00502D8E" w:rsidRDefault="00502D8E" w:rsidP="00502D8E">
            <w:pPr>
              <w:pStyle w:val="ListParagraph"/>
              <w:numPr>
                <w:ilvl w:val="1"/>
                <w:numId w:val="1"/>
              </w:numPr>
            </w:pPr>
            <w:r>
              <w:t xml:space="preserve">to promote equality under the Equality Act 2010 </w:t>
            </w:r>
          </w:p>
          <w:p w:rsidR="00502D8E" w:rsidRDefault="00502D8E" w:rsidP="00502D8E">
            <w:pPr>
              <w:pStyle w:val="ListParagraph"/>
              <w:numPr>
                <w:ilvl w:val="1"/>
                <w:numId w:val="1"/>
              </w:numPr>
            </w:pPr>
            <w:proofErr w:type="gramStart"/>
            <w:r>
              <w:t>to</w:t>
            </w:r>
            <w:proofErr w:type="gramEnd"/>
            <w:r>
              <w:t xml:space="preserve"> seek to reduce health inequalities under the NHS Act 2006. </w:t>
            </w:r>
          </w:p>
          <w:p w:rsidR="00502D8E" w:rsidRDefault="00502D8E" w:rsidP="00502D8E">
            <w:pPr>
              <w:pStyle w:val="ListParagraph"/>
              <w:numPr>
                <w:ilvl w:val="0"/>
                <w:numId w:val="1"/>
              </w:numPr>
            </w:pPr>
            <w:r>
              <w:t>This template is to help you identify whether there is a need for patient and public participation in your commissioning activity, and to plan fairly and proportionately where this is needed.</w:t>
            </w:r>
          </w:p>
          <w:p w:rsidR="00502D8E" w:rsidRDefault="00502D8E" w:rsidP="00502D8E">
            <w:pPr>
              <w:pStyle w:val="ListParagraph"/>
              <w:numPr>
                <w:ilvl w:val="0"/>
                <w:numId w:val="1"/>
              </w:numPr>
            </w:pPr>
            <w:r>
              <w:t xml:space="preserve">Complete </w:t>
            </w:r>
            <w:proofErr w:type="gramStart"/>
            <w:r>
              <w:t xml:space="preserve">this at the start of the planning process for </w:t>
            </w:r>
            <w:r w:rsidRPr="00502D8E">
              <w:rPr>
                <w:b/>
              </w:rPr>
              <w:t>any commissioning activity</w:t>
            </w:r>
            <w:r>
              <w:t xml:space="preserve"> and </w:t>
            </w:r>
            <w:r w:rsidRPr="00502D8E">
              <w:rPr>
                <w:b/>
              </w:rPr>
              <w:t>before operational commissioning decisions are</w:t>
            </w:r>
            <w:proofErr w:type="gramEnd"/>
            <w:r w:rsidRPr="00502D8E">
              <w:rPr>
                <w:b/>
              </w:rPr>
              <w:t xml:space="preserve"> taken</w:t>
            </w:r>
            <w:r>
              <w:t xml:space="preserve"> which may impact on </w:t>
            </w:r>
            <w:r w:rsidRPr="00502D8E">
              <w:rPr>
                <w:b/>
              </w:rPr>
              <w:t>the range of commissioned services</w:t>
            </w:r>
            <w:r>
              <w:t xml:space="preserve"> and/or the </w:t>
            </w:r>
            <w:r w:rsidRPr="00502D8E">
              <w:rPr>
                <w:b/>
              </w:rPr>
              <w:t>way in which they are provided</w:t>
            </w:r>
            <w:r>
              <w:t xml:space="preserve">. </w:t>
            </w:r>
          </w:p>
          <w:p w:rsidR="00502D8E" w:rsidRDefault="00502D8E" w:rsidP="00502D8E">
            <w:pPr>
              <w:pStyle w:val="ListParagraph"/>
              <w:numPr>
                <w:ilvl w:val="0"/>
                <w:numId w:val="1"/>
              </w:numPr>
            </w:pPr>
            <w:r>
              <w:t>If necessary, complete the attached communications and engagement template to help plan your activity</w:t>
            </w:r>
          </w:p>
          <w:p w:rsidR="00502D8E" w:rsidRPr="007C5438" w:rsidRDefault="00502D8E" w:rsidP="00502D8E">
            <w:pPr>
              <w:pStyle w:val="ListParagraph"/>
              <w:numPr>
                <w:ilvl w:val="0"/>
                <w:numId w:val="1"/>
              </w:numPr>
              <w:rPr>
                <w:b/>
              </w:rPr>
            </w:pPr>
            <w:r w:rsidRPr="007C5438">
              <w:rPr>
                <w:b/>
              </w:rPr>
              <w:t xml:space="preserve">Completed forms may be used as evidence in the event of a legal challenge. </w:t>
            </w:r>
          </w:p>
          <w:p w:rsidR="00502D8E" w:rsidRPr="007C5438" w:rsidRDefault="00502D8E" w:rsidP="00AD4322"/>
        </w:tc>
      </w:tr>
      <w:tr w:rsidR="00556A4F" w:rsidRPr="007C5438" w:rsidTr="00556A4F">
        <w:tc>
          <w:tcPr>
            <w:tcW w:w="10682" w:type="dxa"/>
            <w:gridSpan w:val="2"/>
            <w:shd w:val="clear" w:color="auto" w:fill="CCC0D9" w:themeFill="accent4" w:themeFillTint="66"/>
          </w:tcPr>
          <w:p w:rsidR="00556A4F" w:rsidRPr="00556A4F" w:rsidRDefault="00556A4F" w:rsidP="00AD4322">
            <w:pPr>
              <w:rPr>
                <w:b/>
              </w:rPr>
            </w:pPr>
            <w:r w:rsidRPr="00556A4F">
              <w:rPr>
                <w:b/>
                <w:sz w:val="28"/>
              </w:rPr>
              <w:t>Assessment – step one</w:t>
            </w:r>
          </w:p>
        </w:tc>
      </w:tr>
      <w:tr w:rsidR="00556A4F" w:rsidRPr="007C5438" w:rsidTr="007C5438">
        <w:tc>
          <w:tcPr>
            <w:tcW w:w="3652" w:type="dxa"/>
          </w:tcPr>
          <w:p w:rsidR="00556A4F" w:rsidRPr="007C5438" w:rsidRDefault="00556A4F" w:rsidP="00AD4322">
            <w:pPr>
              <w:rPr>
                <w:b/>
              </w:rPr>
            </w:pPr>
            <w:r w:rsidRPr="007C5438">
              <w:rPr>
                <w:b/>
              </w:rPr>
              <w:t>Title of the plan/ proposal/project /commissioning activity</w:t>
            </w:r>
          </w:p>
        </w:tc>
        <w:tc>
          <w:tcPr>
            <w:tcW w:w="7030" w:type="dxa"/>
          </w:tcPr>
          <w:p w:rsidR="00556A4F" w:rsidRPr="00313F94" w:rsidRDefault="00B723E5" w:rsidP="00AD4322">
            <w:r w:rsidRPr="00313F94">
              <w:t>Brookfield Surgery and Magna Group Practice merger</w:t>
            </w:r>
          </w:p>
        </w:tc>
      </w:tr>
      <w:tr w:rsidR="007C5438" w:rsidRPr="007C5438" w:rsidTr="007C5438">
        <w:tc>
          <w:tcPr>
            <w:tcW w:w="3652" w:type="dxa"/>
          </w:tcPr>
          <w:p w:rsidR="007C5438" w:rsidRPr="007C5438" w:rsidRDefault="007C5438" w:rsidP="00AD4322">
            <w:pPr>
              <w:rPr>
                <w:b/>
              </w:rPr>
            </w:pPr>
            <w:r w:rsidRPr="007C5438">
              <w:rPr>
                <w:b/>
              </w:rPr>
              <w:t xml:space="preserve">Brief description with key objectives </w:t>
            </w:r>
          </w:p>
        </w:tc>
        <w:tc>
          <w:tcPr>
            <w:tcW w:w="7030" w:type="dxa"/>
          </w:tcPr>
          <w:p w:rsidR="007C5438" w:rsidRPr="00313F94" w:rsidRDefault="00B723E5" w:rsidP="008E0494">
            <w:r w:rsidRPr="00313F94">
              <w:t>Proposals for the merger of two practices currently based in the same building</w:t>
            </w:r>
          </w:p>
        </w:tc>
      </w:tr>
      <w:tr w:rsidR="008E0494" w:rsidRPr="007C5438" w:rsidTr="007C5438">
        <w:tc>
          <w:tcPr>
            <w:tcW w:w="3652" w:type="dxa"/>
          </w:tcPr>
          <w:p w:rsidR="008E0494" w:rsidRPr="008E0494" w:rsidRDefault="008E0494" w:rsidP="00AD4322">
            <w:pPr>
              <w:rPr>
                <w:b/>
              </w:rPr>
            </w:pPr>
            <w:r w:rsidRPr="008E0494">
              <w:rPr>
                <w:b/>
              </w:rPr>
              <w:t>Is there likely to be an impact on patients and the public?</w:t>
            </w:r>
          </w:p>
        </w:tc>
        <w:tc>
          <w:tcPr>
            <w:tcW w:w="7030" w:type="dxa"/>
          </w:tcPr>
          <w:p w:rsidR="008E0494" w:rsidRPr="00313F94" w:rsidRDefault="00B723E5" w:rsidP="007C5438">
            <w:r w:rsidRPr="00313F94">
              <w:t>It is unlikely to cause an impact on patients and the public as the services will still remain in that location</w:t>
            </w:r>
            <w:r w:rsidR="00EC302C" w:rsidRPr="00313F94">
              <w:t xml:space="preserve"> </w:t>
            </w:r>
          </w:p>
        </w:tc>
      </w:tr>
      <w:tr w:rsidR="00EC302C" w:rsidRPr="007C5438" w:rsidTr="00935F20">
        <w:tc>
          <w:tcPr>
            <w:tcW w:w="10682" w:type="dxa"/>
            <w:gridSpan w:val="2"/>
          </w:tcPr>
          <w:p w:rsidR="00EC302C" w:rsidRPr="00313F94" w:rsidRDefault="00EC302C" w:rsidP="007C5438">
            <w:r w:rsidRPr="00313F94">
              <w:rPr>
                <w:b/>
              </w:rPr>
              <w:t xml:space="preserve">If the plans, proposals or decisions are implemented, will there be: </w:t>
            </w:r>
          </w:p>
        </w:tc>
      </w:tr>
      <w:tr w:rsidR="008E0494" w:rsidRPr="007C5438" w:rsidTr="007C5438">
        <w:tc>
          <w:tcPr>
            <w:tcW w:w="3652" w:type="dxa"/>
          </w:tcPr>
          <w:p w:rsidR="008E0494" w:rsidRPr="007C5438" w:rsidRDefault="008E0494" w:rsidP="00AD4322">
            <w:pPr>
              <w:rPr>
                <w:b/>
              </w:rPr>
            </w:pPr>
            <w:r>
              <w:t>(a) An impact on how services are delivered?</w:t>
            </w:r>
          </w:p>
        </w:tc>
        <w:tc>
          <w:tcPr>
            <w:tcW w:w="7030" w:type="dxa"/>
          </w:tcPr>
          <w:p w:rsidR="008E0494" w:rsidRPr="00313F94" w:rsidRDefault="00B723E5" w:rsidP="00B723E5">
            <w:r w:rsidRPr="00313F94">
              <w:rPr>
                <w:b/>
              </w:rPr>
              <w:t xml:space="preserve">Yes  - </w:t>
            </w:r>
            <w:r w:rsidR="00D51DE8">
              <w:rPr>
                <w:b/>
              </w:rPr>
              <w:t xml:space="preserve">positive change - </w:t>
            </w:r>
            <w:r w:rsidRPr="00313F94">
              <w:t xml:space="preserve">the merged practice will be able to offer </w:t>
            </w:r>
            <w:proofErr w:type="spellStart"/>
            <w:r w:rsidRPr="00313F94">
              <w:t>appts</w:t>
            </w:r>
            <w:proofErr w:type="spellEnd"/>
            <w:r w:rsidRPr="00313F94">
              <w:t xml:space="preserve"> with a female GP for patients that currently do not have access to a female GP</w:t>
            </w:r>
          </w:p>
        </w:tc>
      </w:tr>
      <w:tr w:rsidR="008E0494" w:rsidRPr="007C5438" w:rsidTr="007C5438">
        <w:tc>
          <w:tcPr>
            <w:tcW w:w="3652" w:type="dxa"/>
          </w:tcPr>
          <w:p w:rsidR="008E0494" w:rsidRDefault="008E0494" w:rsidP="00AD4322">
            <w:r>
              <w:t>(b) An impact on the range of health services available?</w:t>
            </w:r>
          </w:p>
        </w:tc>
        <w:tc>
          <w:tcPr>
            <w:tcW w:w="7030" w:type="dxa"/>
          </w:tcPr>
          <w:p w:rsidR="008E0494" w:rsidRPr="00313F94" w:rsidRDefault="00B723E5" w:rsidP="00B723E5">
            <w:r w:rsidRPr="00313F94">
              <w:rPr>
                <w:b/>
              </w:rPr>
              <w:t>No</w:t>
            </w:r>
            <w:r w:rsidRPr="00313F94">
              <w:t xml:space="preserve"> - the merged practice will continue to provide the services it is currently contracted to undertake via the PMS contract and the local enhanced services</w:t>
            </w:r>
          </w:p>
        </w:tc>
      </w:tr>
      <w:tr w:rsidR="008E0494" w:rsidRPr="007C5438" w:rsidTr="007C5438">
        <w:tc>
          <w:tcPr>
            <w:tcW w:w="3652" w:type="dxa"/>
          </w:tcPr>
          <w:p w:rsidR="008E0494" w:rsidRDefault="008E0494" w:rsidP="00AD4322">
            <w:r>
              <w:t>(c) Any other impact that you can envisage at this point in time?</w:t>
            </w:r>
          </w:p>
        </w:tc>
        <w:tc>
          <w:tcPr>
            <w:tcW w:w="7030" w:type="dxa"/>
          </w:tcPr>
          <w:p w:rsidR="008E0494" w:rsidRPr="00313F94" w:rsidRDefault="00B723E5" w:rsidP="007C5438">
            <w:r w:rsidRPr="00313F94">
              <w:t>No</w:t>
            </w:r>
          </w:p>
        </w:tc>
      </w:tr>
      <w:tr w:rsidR="008E0494" w:rsidRPr="007C5438" w:rsidTr="003E3CE5">
        <w:tc>
          <w:tcPr>
            <w:tcW w:w="10682" w:type="dxa"/>
            <w:gridSpan w:val="2"/>
          </w:tcPr>
          <w:p w:rsidR="00EC302C" w:rsidRPr="00313F94" w:rsidRDefault="008E0494" w:rsidP="007C5438">
            <w:pPr>
              <w:rPr>
                <w:b/>
              </w:rPr>
            </w:pPr>
            <w:r w:rsidRPr="00313F94">
              <w:rPr>
                <w:b/>
              </w:rPr>
              <w:t xml:space="preserve">If you have answered yes to (a), (b) or (c), it is highly likely that the legal duty applies. </w:t>
            </w:r>
          </w:p>
          <w:p w:rsidR="008E0494" w:rsidRPr="00313F94" w:rsidRDefault="008E0494" w:rsidP="007C5438">
            <w:pPr>
              <w:rPr>
                <w:b/>
              </w:rPr>
            </w:pPr>
            <w:r w:rsidRPr="00313F94">
              <w:rPr>
                <w:b/>
              </w:rPr>
              <w:t>Note: the duty always applies to planning of commissioning arrangements (regardless of impact).</w:t>
            </w:r>
          </w:p>
        </w:tc>
      </w:tr>
      <w:tr w:rsidR="008E0494" w:rsidRPr="007C5438" w:rsidTr="008E0494">
        <w:trPr>
          <w:trHeight w:val="276"/>
        </w:trPr>
        <w:tc>
          <w:tcPr>
            <w:tcW w:w="3652" w:type="dxa"/>
          </w:tcPr>
          <w:p w:rsidR="008E0494" w:rsidRDefault="008E0494" w:rsidP="007C5438">
            <w:r>
              <w:t>Does the legal duty apply to the activity?</w:t>
            </w:r>
          </w:p>
        </w:tc>
        <w:tc>
          <w:tcPr>
            <w:tcW w:w="7030" w:type="dxa"/>
          </w:tcPr>
          <w:p w:rsidR="008E0494" w:rsidRPr="00313F94" w:rsidRDefault="00B723E5" w:rsidP="008E0494">
            <w:pPr>
              <w:rPr>
                <w:b/>
              </w:rPr>
            </w:pPr>
            <w:r w:rsidRPr="00313F94">
              <w:rPr>
                <w:b/>
              </w:rPr>
              <w:t>Yes</w:t>
            </w:r>
          </w:p>
          <w:p w:rsidR="008E0494" w:rsidRPr="00313F94" w:rsidRDefault="00B723E5" w:rsidP="00EC302C">
            <w:r w:rsidRPr="00313F94">
              <w:t xml:space="preserve">Both practices will need to undertake a patient engagement exercise in respect of the merger proposal, to gain feedback </w:t>
            </w:r>
            <w:r w:rsidR="00313F94" w:rsidRPr="00313F94">
              <w:t>from patients.</w:t>
            </w:r>
          </w:p>
          <w:p w:rsidR="00625F56" w:rsidRPr="00313F94" w:rsidRDefault="00625F56" w:rsidP="00EC302C"/>
        </w:tc>
      </w:tr>
      <w:tr w:rsidR="008E0494" w:rsidRPr="007C5438" w:rsidTr="008E0494">
        <w:trPr>
          <w:trHeight w:val="276"/>
        </w:trPr>
        <w:tc>
          <w:tcPr>
            <w:tcW w:w="3652" w:type="dxa"/>
          </w:tcPr>
          <w:p w:rsidR="008E0494" w:rsidRDefault="008E0494" w:rsidP="007C5438">
            <w:r>
              <w:t>Describe any existing arrangements to involve patients and the public which are relevant to this plan/activity and/or provide relevant sources of patient and public insight.</w:t>
            </w:r>
          </w:p>
        </w:tc>
        <w:tc>
          <w:tcPr>
            <w:tcW w:w="7030" w:type="dxa"/>
          </w:tcPr>
          <w:p w:rsidR="008E0494" w:rsidRPr="00DB7268" w:rsidRDefault="00DB7268" w:rsidP="00625F56">
            <w:r w:rsidRPr="00DB7268">
              <w:t xml:space="preserve">Patients contacted via </w:t>
            </w:r>
            <w:proofErr w:type="spellStart"/>
            <w:r w:rsidRPr="00DB7268">
              <w:t>MJog</w:t>
            </w:r>
            <w:proofErr w:type="spellEnd"/>
            <w:r w:rsidRPr="00DB7268">
              <w:t>, PPG, surveys available in practice.</w:t>
            </w:r>
          </w:p>
          <w:p w:rsidR="00625F56" w:rsidRPr="00EC302C" w:rsidRDefault="00625F56" w:rsidP="00625F56">
            <w:pPr>
              <w:rPr>
                <w:i/>
                <w:color w:val="FF0000"/>
              </w:rPr>
            </w:pPr>
          </w:p>
        </w:tc>
      </w:tr>
      <w:tr w:rsidR="008E0494" w:rsidRPr="007C5438" w:rsidTr="008E0494">
        <w:trPr>
          <w:trHeight w:val="276"/>
        </w:trPr>
        <w:tc>
          <w:tcPr>
            <w:tcW w:w="3652" w:type="dxa"/>
          </w:tcPr>
          <w:p w:rsidR="008E0494" w:rsidRDefault="008E0494" w:rsidP="007C5438">
            <w:r>
              <w:t>Are additional arrangements for patient and public involvement required for this activity?</w:t>
            </w:r>
          </w:p>
        </w:tc>
        <w:tc>
          <w:tcPr>
            <w:tcW w:w="7030" w:type="dxa"/>
          </w:tcPr>
          <w:p w:rsidR="008E0494" w:rsidRPr="00DB7268" w:rsidRDefault="00DB7268" w:rsidP="007C5438">
            <w:pPr>
              <w:rPr>
                <w:color w:val="FF0000"/>
              </w:rPr>
            </w:pPr>
            <w:r w:rsidRPr="00DB7268">
              <w:t>No</w:t>
            </w:r>
          </w:p>
        </w:tc>
      </w:tr>
      <w:tr w:rsidR="008E0494" w:rsidRPr="007C5438" w:rsidTr="008E0494">
        <w:trPr>
          <w:trHeight w:val="276"/>
        </w:trPr>
        <w:tc>
          <w:tcPr>
            <w:tcW w:w="3652" w:type="dxa"/>
          </w:tcPr>
          <w:p w:rsidR="008E0494" w:rsidRDefault="00625F56" w:rsidP="007C5438">
            <w:r>
              <w:t>H</w:t>
            </w:r>
            <w:r w:rsidR="008E0494">
              <w:t xml:space="preserve">ow </w:t>
            </w:r>
            <w:r>
              <w:t xml:space="preserve">will </w:t>
            </w:r>
            <w:r w:rsidR="008E0494">
              <w:t>the information collected through patient and public participation will be used to influence the plan/activity.</w:t>
            </w:r>
          </w:p>
        </w:tc>
        <w:tc>
          <w:tcPr>
            <w:tcW w:w="7030" w:type="dxa"/>
          </w:tcPr>
          <w:p w:rsidR="00625F56" w:rsidRPr="00DB7268" w:rsidRDefault="00DB7268" w:rsidP="008E0494">
            <w:r w:rsidRPr="00DB7268">
              <w:t>Feedback to PPGs, information about the merger available in the practices.</w:t>
            </w:r>
          </w:p>
          <w:p w:rsidR="008E0494" w:rsidRPr="00EC302C" w:rsidRDefault="008E0494" w:rsidP="008E0494">
            <w:pPr>
              <w:rPr>
                <w:i/>
                <w:color w:val="FF0000"/>
              </w:rPr>
            </w:pPr>
          </w:p>
          <w:p w:rsidR="008E0494" w:rsidRDefault="008E0494" w:rsidP="007C5438"/>
        </w:tc>
      </w:tr>
      <w:tr w:rsidR="008E0494" w:rsidRPr="007C5438" w:rsidTr="00556A4F">
        <w:trPr>
          <w:trHeight w:val="276"/>
        </w:trPr>
        <w:tc>
          <w:tcPr>
            <w:tcW w:w="10682" w:type="dxa"/>
            <w:gridSpan w:val="2"/>
            <w:shd w:val="clear" w:color="auto" w:fill="CCC0D9" w:themeFill="accent4" w:themeFillTint="66"/>
          </w:tcPr>
          <w:p w:rsidR="008E0494" w:rsidRDefault="008E0494" w:rsidP="007C5438">
            <w:pPr>
              <w:rPr>
                <w:b/>
                <w:sz w:val="24"/>
              </w:rPr>
            </w:pPr>
            <w:r w:rsidRPr="00EC302C">
              <w:rPr>
                <w:b/>
                <w:sz w:val="24"/>
              </w:rPr>
              <w:t>Communications and engagement plan</w:t>
            </w:r>
            <w:r w:rsidR="00556A4F">
              <w:rPr>
                <w:b/>
                <w:sz w:val="24"/>
              </w:rPr>
              <w:t>- step 2</w:t>
            </w:r>
          </w:p>
          <w:p w:rsidR="00556A4F" w:rsidRPr="00EC302C" w:rsidRDefault="00556A4F" w:rsidP="007C5438">
            <w:pPr>
              <w:rPr>
                <w:b/>
              </w:rPr>
            </w:pPr>
          </w:p>
        </w:tc>
      </w:tr>
      <w:tr w:rsidR="00502D8E" w:rsidRPr="007C5438" w:rsidTr="00B756EB">
        <w:trPr>
          <w:trHeight w:val="276"/>
        </w:trPr>
        <w:tc>
          <w:tcPr>
            <w:tcW w:w="10682" w:type="dxa"/>
            <w:gridSpan w:val="2"/>
          </w:tcPr>
          <w:p w:rsidR="00502D8E" w:rsidRPr="00556A4F" w:rsidRDefault="00502D8E" w:rsidP="00556A4F">
            <w:pPr>
              <w:rPr>
                <w:i/>
                <w:sz w:val="24"/>
              </w:rPr>
            </w:pPr>
            <w:r w:rsidRPr="00556A4F">
              <w:rPr>
                <w:i/>
                <w:color w:val="FF0000"/>
              </w:rPr>
              <w:t>Use this template to plan communication and engagement activity</w:t>
            </w:r>
          </w:p>
        </w:tc>
      </w:tr>
      <w:tr w:rsidR="008E0494" w:rsidRPr="007C5438" w:rsidTr="008E0494">
        <w:trPr>
          <w:trHeight w:val="276"/>
        </w:trPr>
        <w:tc>
          <w:tcPr>
            <w:tcW w:w="3652" w:type="dxa"/>
          </w:tcPr>
          <w:p w:rsidR="008E0494" w:rsidRDefault="008E0494" w:rsidP="007C5438">
            <w:r>
              <w:t>Date produced</w:t>
            </w:r>
          </w:p>
        </w:tc>
        <w:tc>
          <w:tcPr>
            <w:tcW w:w="7030" w:type="dxa"/>
          </w:tcPr>
          <w:p w:rsidR="008E0494" w:rsidRDefault="008E0494" w:rsidP="007C5438"/>
        </w:tc>
      </w:tr>
      <w:tr w:rsidR="008E0494" w:rsidRPr="007C5438" w:rsidTr="008E0494">
        <w:trPr>
          <w:trHeight w:val="276"/>
        </w:trPr>
        <w:tc>
          <w:tcPr>
            <w:tcW w:w="3652" w:type="dxa"/>
          </w:tcPr>
          <w:p w:rsidR="008E0494" w:rsidRDefault="008E0494" w:rsidP="007C5438">
            <w:r>
              <w:t>Project lead</w:t>
            </w:r>
          </w:p>
        </w:tc>
        <w:tc>
          <w:tcPr>
            <w:tcW w:w="7030" w:type="dxa"/>
          </w:tcPr>
          <w:p w:rsidR="008E0494" w:rsidRPr="00DB7268" w:rsidRDefault="008E0494" w:rsidP="007C5438">
            <w:pPr>
              <w:rPr>
                <w:color w:val="FF0000"/>
              </w:rPr>
            </w:pPr>
          </w:p>
        </w:tc>
      </w:tr>
      <w:tr w:rsidR="008E0494" w:rsidRPr="007C5438" w:rsidTr="008E0494">
        <w:trPr>
          <w:trHeight w:val="276"/>
        </w:trPr>
        <w:tc>
          <w:tcPr>
            <w:tcW w:w="3652" w:type="dxa"/>
          </w:tcPr>
          <w:p w:rsidR="008E0494" w:rsidRDefault="008E0494" w:rsidP="007C5438">
            <w:r>
              <w:lastRenderedPageBreak/>
              <w:t>Background Proposal/project information</w:t>
            </w:r>
          </w:p>
        </w:tc>
        <w:tc>
          <w:tcPr>
            <w:tcW w:w="7030" w:type="dxa"/>
          </w:tcPr>
          <w:p w:rsidR="008E0494" w:rsidRPr="00DB7268" w:rsidRDefault="008E0494" w:rsidP="007C5438"/>
        </w:tc>
      </w:tr>
      <w:tr w:rsidR="008E0494" w:rsidRPr="007C5438" w:rsidTr="008E0494">
        <w:trPr>
          <w:trHeight w:val="276"/>
        </w:trPr>
        <w:tc>
          <w:tcPr>
            <w:tcW w:w="3652" w:type="dxa"/>
          </w:tcPr>
          <w:p w:rsidR="008E0494" w:rsidRDefault="008E0494" w:rsidP="007C5438">
            <w:r>
              <w:t>What impact will it have and what reaction do you expect?</w:t>
            </w:r>
          </w:p>
        </w:tc>
        <w:tc>
          <w:tcPr>
            <w:tcW w:w="7030" w:type="dxa"/>
          </w:tcPr>
          <w:p w:rsidR="008E0494" w:rsidRDefault="008E0494" w:rsidP="007C5438"/>
        </w:tc>
      </w:tr>
      <w:tr w:rsidR="008E0494" w:rsidRPr="007C5438" w:rsidTr="008E0494">
        <w:trPr>
          <w:trHeight w:val="276"/>
        </w:trPr>
        <w:tc>
          <w:tcPr>
            <w:tcW w:w="3652" w:type="dxa"/>
          </w:tcPr>
          <w:p w:rsidR="008E0494" w:rsidRDefault="008E0494" w:rsidP="007C5438">
            <w:r>
              <w:t>Key messages</w:t>
            </w:r>
          </w:p>
        </w:tc>
        <w:tc>
          <w:tcPr>
            <w:tcW w:w="7030" w:type="dxa"/>
          </w:tcPr>
          <w:p w:rsidR="008E0494" w:rsidRPr="00DB7268" w:rsidRDefault="008E0494" w:rsidP="007C5438">
            <w:pPr>
              <w:rPr>
                <w:color w:val="FF0000"/>
              </w:rPr>
            </w:pPr>
          </w:p>
        </w:tc>
      </w:tr>
      <w:tr w:rsidR="008E0494" w:rsidRPr="007C5438" w:rsidTr="008E0494">
        <w:trPr>
          <w:trHeight w:val="276"/>
        </w:trPr>
        <w:tc>
          <w:tcPr>
            <w:tcW w:w="3652" w:type="dxa"/>
          </w:tcPr>
          <w:p w:rsidR="008E0494" w:rsidRDefault="008E0494" w:rsidP="007C5438">
            <w:r>
              <w:t>What can people influence/not influence?</w:t>
            </w:r>
          </w:p>
        </w:tc>
        <w:tc>
          <w:tcPr>
            <w:tcW w:w="7030" w:type="dxa"/>
          </w:tcPr>
          <w:p w:rsidR="008E0494" w:rsidRPr="00EC302C" w:rsidRDefault="008E0494" w:rsidP="007C5438">
            <w:pPr>
              <w:rPr>
                <w:i/>
                <w:color w:val="FF0000"/>
              </w:rPr>
            </w:pPr>
          </w:p>
        </w:tc>
      </w:tr>
      <w:tr w:rsidR="008E0494" w:rsidRPr="007C5438" w:rsidTr="008E0494">
        <w:trPr>
          <w:trHeight w:val="276"/>
        </w:trPr>
        <w:tc>
          <w:tcPr>
            <w:tcW w:w="3652" w:type="dxa"/>
          </w:tcPr>
          <w:p w:rsidR="008E0494" w:rsidRDefault="008E0494" w:rsidP="007C5438">
            <w:r>
              <w:t>Target audiences</w:t>
            </w:r>
          </w:p>
        </w:tc>
        <w:tc>
          <w:tcPr>
            <w:tcW w:w="7030" w:type="dxa"/>
          </w:tcPr>
          <w:p w:rsidR="008E0494" w:rsidRPr="00EC302C" w:rsidRDefault="008E0494" w:rsidP="00DB7268">
            <w:pPr>
              <w:rPr>
                <w:i/>
                <w:color w:val="FF0000"/>
              </w:rPr>
            </w:pPr>
          </w:p>
        </w:tc>
      </w:tr>
      <w:tr w:rsidR="008E0494" w:rsidRPr="007C5438" w:rsidTr="008E0494">
        <w:trPr>
          <w:trHeight w:val="276"/>
        </w:trPr>
        <w:tc>
          <w:tcPr>
            <w:tcW w:w="3652" w:type="dxa"/>
          </w:tcPr>
          <w:p w:rsidR="008E0494" w:rsidRDefault="008E0494" w:rsidP="007C5438">
            <w:r>
              <w:t>What are the measures of success?</w:t>
            </w:r>
          </w:p>
        </w:tc>
        <w:tc>
          <w:tcPr>
            <w:tcW w:w="7030" w:type="dxa"/>
          </w:tcPr>
          <w:p w:rsidR="008E0494" w:rsidRPr="00EC302C" w:rsidRDefault="008E0494" w:rsidP="007C5438">
            <w:pPr>
              <w:rPr>
                <w:i/>
                <w:color w:val="FF0000"/>
              </w:rPr>
            </w:pPr>
          </w:p>
        </w:tc>
      </w:tr>
      <w:tr w:rsidR="008E0494" w:rsidRPr="007C5438" w:rsidTr="008E0494">
        <w:trPr>
          <w:trHeight w:val="276"/>
        </w:trPr>
        <w:tc>
          <w:tcPr>
            <w:tcW w:w="3652" w:type="dxa"/>
          </w:tcPr>
          <w:p w:rsidR="008E0494" w:rsidRDefault="008E0494" w:rsidP="007C5438">
            <w:r>
              <w:t>Budget</w:t>
            </w:r>
          </w:p>
        </w:tc>
        <w:tc>
          <w:tcPr>
            <w:tcW w:w="7030" w:type="dxa"/>
          </w:tcPr>
          <w:p w:rsidR="008E0494" w:rsidRPr="00EC302C" w:rsidRDefault="008E0494" w:rsidP="007C5438">
            <w:pPr>
              <w:rPr>
                <w:i/>
                <w:color w:val="FF0000"/>
              </w:rPr>
            </w:pPr>
          </w:p>
        </w:tc>
      </w:tr>
      <w:tr w:rsidR="008E0494" w:rsidRPr="007C5438" w:rsidTr="008E0494">
        <w:trPr>
          <w:trHeight w:val="276"/>
        </w:trPr>
        <w:tc>
          <w:tcPr>
            <w:tcW w:w="3652" w:type="dxa"/>
          </w:tcPr>
          <w:p w:rsidR="008E0494" w:rsidRDefault="008E0494" w:rsidP="007C5438">
            <w:r>
              <w:t xml:space="preserve"> Methods of engagement/communications</w:t>
            </w:r>
          </w:p>
        </w:tc>
        <w:tc>
          <w:tcPr>
            <w:tcW w:w="7030" w:type="dxa"/>
          </w:tcPr>
          <w:p w:rsidR="008E0494" w:rsidRPr="00EC302C" w:rsidRDefault="008E0494" w:rsidP="007C5438">
            <w:pPr>
              <w:rPr>
                <w:i/>
                <w:color w:val="FF0000"/>
              </w:rPr>
            </w:pPr>
          </w:p>
        </w:tc>
      </w:tr>
      <w:tr w:rsidR="008E0494" w:rsidRPr="007C5438" w:rsidTr="008E0494">
        <w:trPr>
          <w:trHeight w:val="276"/>
        </w:trPr>
        <w:tc>
          <w:tcPr>
            <w:tcW w:w="3652" w:type="dxa"/>
          </w:tcPr>
          <w:p w:rsidR="008E0494" w:rsidRDefault="008E0494" w:rsidP="007C5438">
            <w:r>
              <w:t>Timescales</w:t>
            </w:r>
          </w:p>
        </w:tc>
        <w:tc>
          <w:tcPr>
            <w:tcW w:w="7030" w:type="dxa"/>
          </w:tcPr>
          <w:p w:rsidR="00502D8E" w:rsidRPr="00EC302C" w:rsidRDefault="00502D8E" w:rsidP="007C5438">
            <w:pPr>
              <w:rPr>
                <w:i/>
                <w:color w:val="FF0000"/>
              </w:rPr>
            </w:pPr>
          </w:p>
        </w:tc>
      </w:tr>
      <w:tr w:rsidR="008E0494" w:rsidRPr="007C5438" w:rsidTr="008E0494">
        <w:trPr>
          <w:trHeight w:val="276"/>
        </w:trPr>
        <w:tc>
          <w:tcPr>
            <w:tcW w:w="3652" w:type="dxa"/>
          </w:tcPr>
          <w:p w:rsidR="008E0494" w:rsidRDefault="008E0494" w:rsidP="007C5438">
            <w:r>
              <w:t>Equality and accessibility</w:t>
            </w:r>
          </w:p>
        </w:tc>
        <w:tc>
          <w:tcPr>
            <w:tcW w:w="7030" w:type="dxa"/>
          </w:tcPr>
          <w:p w:rsidR="00502D8E" w:rsidRPr="00EC302C" w:rsidRDefault="00502D8E" w:rsidP="007C5438">
            <w:pPr>
              <w:rPr>
                <w:i/>
                <w:color w:val="FF0000"/>
              </w:rPr>
            </w:pPr>
          </w:p>
        </w:tc>
      </w:tr>
      <w:tr w:rsidR="008E0494" w:rsidRPr="007C5438" w:rsidTr="008E0494">
        <w:trPr>
          <w:trHeight w:val="276"/>
        </w:trPr>
        <w:tc>
          <w:tcPr>
            <w:tcW w:w="3652" w:type="dxa"/>
          </w:tcPr>
          <w:p w:rsidR="008E0494" w:rsidRDefault="008E0494" w:rsidP="007C5438">
            <w:r>
              <w:t>Partner organisations</w:t>
            </w:r>
          </w:p>
        </w:tc>
        <w:tc>
          <w:tcPr>
            <w:tcW w:w="7030" w:type="dxa"/>
          </w:tcPr>
          <w:p w:rsidR="00502D8E" w:rsidRPr="00EC302C" w:rsidRDefault="00502D8E" w:rsidP="007C5438">
            <w:pPr>
              <w:rPr>
                <w:i/>
                <w:color w:val="FF0000"/>
              </w:rPr>
            </w:pPr>
          </w:p>
        </w:tc>
      </w:tr>
      <w:tr w:rsidR="008E0494" w:rsidRPr="007C5438" w:rsidTr="008E0494">
        <w:trPr>
          <w:trHeight w:val="276"/>
        </w:trPr>
        <w:tc>
          <w:tcPr>
            <w:tcW w:w="3652" w:type="dxa"/>
          </w:tcPr>
          <w:p w:rsidR="008E0494" w:rsidRDefault="008E0494" w:rsidP="007C5438">
            <w:r>
              <w:t>Key contacts</w:t>
            </w:r>
          </w:p>
        </w:tc>
        <w:tc>
          <w:tcPr>
            <w:tcW w:w="7030" w:type="dxa"/>
          </w:tcPr>
          <w:p w:rsidR="008E0494" w:rsidRPr="00EC302C" w:rsidRDefault="008E0494" w:rsidP="007C5438">
            <w:pPr>
              <w:rPr>
                <w:i/>
                <w:color w:val="FF0000"/>
              </w:rPr>
            </w:pPr>
          </w:p>
        </w:tc>
      </w:tr>
      <w:tr w:rsidR="008E0494" w:rsidRPr="007C5438" w:rsidTr="008E0494">
        <w:trPr>
          <w:trHeight w:val="276"/>
        </w:trPr>
        <w:tc>
          <w:tcPr>
            <w:tcW w:w="3652" w:type="dxa"/>
          </w:tcPr>
          <w:p w:rsidR="008E0494" w:rsidRDefault="008E0494" w:rsidP="00502D8E">
            <w:r>
              <w:t xml:space="preserve">Risks </w:t>
            </w:r>
          </w:p>
        </w:tc>
        <w:tc>
          <w:tcPr>
            <w:tcW w:w="7030" w:type="dxa"/>
          </w:tcPr>
          <w:p w:rsidR="008E0494" w:rsidRPr="00EC302C" w:rsidRDefault="008E0494" w:rsidP="007C5438">
            <w:pPr>
              <w:rPr>
                <w:i/>
                <w:color w:val="FF0000"/>
              </w:rPr>
            </w:pPr>
          </w:p>
        </w:tc>
      </w:tr>
      <w:tr w:rsidR="00502D8E" w:rsidRPr="007C5438" w:rsidTr="008E0494">
        <w:trPr>
          <w:trHeight w:val="276"/>
        </w:trPr>
        <w:tc>
          <w:tcPr>
            <w:tcW w:w="3652" w:type="dxa"/>
          </w:tcPr>
          <w:p w:rsidR="00502D8E" w:rsidRDefault="00502D8E" w:rsidP="007C5438">
            <w:r>
              <w:t>mitigating actions</w:t>
            </w:r>
          </w:p>
        </w:tc>
        <w:tc>
          <w:tcPr>
            <w:tcW w:w="7030" w:type="dxa"/>
          </w:tcPr>
          <w:p w:rsidR="00502D8E" w:rsidRPr="00EC302C" w:rsidRDefault="00502D8E" w:rsidP="007C5438">
            <w:pPr>
              <w:rPr>
                <w:i/>
                <w:color w:val="FF0000"/>
              </w:rPr>
            </w:pPr>
          </w:p>
        </w:tc>
      </w:tr>
      <w:tr w:rsidR="008E0494" w:rsidRPr="007C5438" w:rsidTr="008E0494">
        <w:trPr>
          <w:trHeight w:val="276"/>
        </w:trPr>
        <w:tc>
          <w:tcPr>
            <w:tcW w:w="3652" w:type="dxa"/>
          </w:tcPr>
          <w:p w:rsidR="008E0494" w:rsidRDefault="008E0494" w:rsidP="007C5438">
            <w:r>
              <w:t>Evaluation</w:t>
            </w:r>
          </w:p>
        </w:tc>
        <w:tc>
          <w:tcPr>
            <w:tcW w:w="7030" w:type="dxa"/>
          </w:tcPr>
          <w:p w:rsidR="008E0494" w:rsidRPr="00EC302C" w:rsidRDefault="008E0494" w:rsidP="008E0494">
            <w:pPr>
              <w:rPr>
                <w:i/>
                <w:color w:val="FF0000"/>
              </w:rPr>
            </w:pPr>
          </w:p>
        </w:tc>
      </w:tr>
      <w:tr w:rsidR="008E0494" w:rsidRPr="007C5438" w:rsidTr="00EC302C">
        <w:trPr>
          <w:trHeight w:val="58"/>
        </w:trPr>
        <w:tc>
          <w:tcPr>
            <w:tcW w:w="3652" w:type="dxa"/>
          </w:tcPr>
          <w:p w:rsidR="008E0494" w:rsidRDefault="008E0494" w:rsidP="007C5438">
            <w:r>
              <w:t>Feed back to those involved</w:t>
            </w:r>
          </w:p>
        </w:tc>
        <w:tc>
          <w:tcPr>
            <w:tcW w:w="7030" w:type="dxa"/>
          </w:tcPr>
          <w:p w:rsidR="008E0494" w:rsidRPr="00EC302C" w:rsidRDefault="008E0494" w:rsidP="007C5438">
            <w:pPr>
              <w:rPr>
                <w:i/>
                <w:color w:val="FF0000"/>
              </w:rPr>
            </w:pPr>
          </w:p>
        </w:tc>
      </w:tr>
    </w:tbl>
    <w:p w:rsidR="005E088C" w:rsidRDefault="005E088C" w:rsidP="007C5438">
      <w:pPr>
        <w:spacing w:after="0" w:line="240" w:lineRule="auto"/>
      </w:pPr>
    </w:p>
    <w:p w:rsidR="005E088C" w:rsidRDefault="005E088C" w:rsidP="007C5438">
      <w:pPr>
        <w:spacing w:after="0" w:line="240" w:lineRule="auto"/>
      </w:pPr>
    </w:p>
    <w:p w:rsidR="005714B1" w:rsidRDefault="005714B1" w:rsidP="005714B1">
      <w:pPr>
        <w:rPr>
          <w:b/>
          <w:bCs/>
          <w:sz w:val="24"/>
          <w:szCs w:val="24"/>
        </w:rPr>
      </w:pPr>
      <w:r>
        <w:rPr>
          <w:b/>
          <w:bCs/>
          <w:sz w:val="24"/>
          <w:szCs w:val="24"/>
        </w:rPr>
        <w:t>Useful resources</w:t>
      </w:r>
    </w:p>
    <w:p w:rsidR="005714B1" w:rsidRDefault="005714B1" w:rsidP="005714B1">
      <w:pPr>
        <w:pStyle w:val="ListParagraph"/>
        <w:numPr>
          <w:ilvl w:val="0"/>
          <w:numId w:val="13"/>
        </w:numPr>
        <w:rPr>
          <w:sz w:val="24"/>
          <w:szCs w:val="24"/>
        </w:rPr>
      </w:pPr>
      <w:r>
        <w:rPr>
          <w:sz w:val="24"/>
          <w:szCs w:val="24"/>
        </w:rPr>
        <w:t xml:space="preserve">NHS Involvement Hub – resources and guidance </w:t>
      </w:r>
      <w:hyperlink r:id="rId8" w:history="1">
        <w:r w:rsidRPr="009611A5">
          <w:rPr>
            <w:rStyle w:val="Hyperlink"/>
            <w:sz w:val="24"/>
            <w:szCs w:val="24"/>
          </w:rPr>
          <w:t>https://www.england.nhs.uk/participation/</w:t>
        </w:r>
      </w:hyperlink>
    </w:p>
    <w:p w:rsidR="005714B1" w:rsidRPr="001C3A06" w:rsidRDefault="005714B1" w:rsidP="005714B1">
      <w:pPr>
        <w:pStyle w:val="ListParagraph"/>
        <w:numPr>
          <w:ilvl w:val="0"/>
          <w:numId w:val="13"/>
        </w:numPr>
        <w:rPr>
          <w:sz w:val="24"/>
          <w:szCs w:val="24"/>
        </w:rPr>
      </w:pPr>
      <w:r w:rsidRPr="001C3A06">
        <w:rPr>
          <w:b/>
          <w:bCs/>
          <w:sz w:val="24"/>
          <w:szCs w:val="24"/>
        </w:rPr>
        <w:t xml:space="preserve">Smart Guides to Engagement </w:t>
      </w:r>
      <w:hyperlink r:id="rId9" w:history="1">
        <w:r w:rsidRPr="001C3A06">
          <w:rPr>
            <w:rStyle w:val="Hyperlink"/>
            <w:sz w:val="24"/>
            <w:szCs w:val="24"/>
          </w:rPr>
          <w:t>https</w:t>
        </w:r>
      </w:hyperlink>
      <w:hyperlink r:id="rId10" w:history="1">
        <w:r w:rsidRPr="001C3A06">
          <w:rPr>
            <w:rStyle w:val="Hyperlink"/>
            <w:sz w:val="24"/>
            <w:szCs w:val="24"/>
          </w:rPr>
          <w:t>://</w:t>
        </w:r>
      </w:hyperlink>
      <w:hyperlink r:id="rId11" w:history="1">
        <w:r w:rsidRPr="001C3A06">
          <w:rPr>
            <w:rStyle w:val="Hyperlink"/>
            <w:sz w:val="24"/>
            <w:szCs w:val="24"/>
          </w:rPr>
          <w:t>www.networks.nhs.uk/nhs-networks/smart-guides</w:t>
        </w:r>
      </w:hyperlink>
    </w:p>
    <w:p w:rsidR="00362C68" w:rsidRPr="00C942D3" w:rsidRDefault="00362C68" w:rsidP="00C942D3">
      <w:pPr>
        <w:spacing w:after="0" w:line="240" w:lineRule="auto"/>
      </w:pPr>
      <w:r w:rsidRPr="00C942D3">
        <w:br w:type="page"/>
      </w:r>
    </w:p>
    <w:p w:rsidR="00B40A1A" w:rsidRPr="00C942D3" w:rsidRDefault="00B40A1A" w:rsidP="00C942D3">
      <w:pPr>
        <w:pStyle w:val="Pa3"/>
        <w:spacing w:line="240" w:lineRule="auto"/>
        <w:rPr>
          <w:rFonts w:asciiTheme="minorHAnsi" w:hAnsiTheme="minorHAnsi" w:cs="Arial"/>
          <w:b/>
          <w:bCs/>
          <w:sz w:val="28"/>
          <w:szCs w:val="22"/>
        </w:rPr>
      </w:pPr>
      <w:r w:rsidRPr="00C942D3">
        <w:rPr>
          <w:rFonts w:asciiTheme="minorHAnsi" w:hAnsiTheme="minorHAnsi" w:cs="Arial"/>
          <w:b/>
          <w:bCs/>
          <w:sz w:val="28"/>
          <w:szCs w:val="22"/>
        </w:rPr>
        <w:lastRenderedPageBreak/>
        <w:t>Background and guidance</w:t>
      </w:r>
    </w:p>
    <w:p w:rsidR="00B40A1A" w:rsidRPr="00C942D3" w:rsidRDefault="00B40A1A" w:rsidP="00C942D3">
      <w:pPr>
        <w:pStyle w:val="Default"/>
        <w:rPr>
          <w:rFonts w:asciiTheme="minorHAnsi" w:hAnsiTheme="minorHAnsi"/>
          <w:sz w:val="22"/>
          <w:szCs w:val="22"/>
        </w:rPr>
      </w:pPr>
    </w:p>
    <w:p w:rsidR="00B40A1A" w:rsidRPr="00C942D3" w:rsidRDefault="00B40A1A" w:rsidP="00C942D3">
      <w:pPr>
        <w:pStyle w:val="Default"/>
        <w:rPr>
          <w:rFonts w:asciiTheme="minorHAnsi" w:hAnsiTheme="minorHAnsi"/>
          <w:sz w:val="22"/>
          <w:szCs w:val="22"/>
        </w:rPr>
      </w:pPr>
      <w:r w:rsidRPr="00C942D3">
        <w:rPr>
          <w:rFonts w:asciiTheme="minorHAnsi" w:hAnsiTheme="minorHAnsi"/>
          <w:sz w:val="22"/>
          <w:szCs w:val="22"/>
        </w:rPr>
        <w:t>1</w:t>
      </w:r>
      <w:r w:rsidRPr="00C942D3">
        <w:rPr>
          <w:rFonts w:asciiTheme="minorHAnsi" w:hAnsiTheme="minorHAnsi"/>
          <w:sz w:val="22"/>
          <w:szCs w:val="22"/>
        </w:rPr>
        <w:tab/>
        <w:t>What type of activity is it?</w:t>
      </w:r>
    </w:p>
    <w:p w:rsidR="00B40A1A" w:rsidRPr="00C942D3" w:rsidRDefault="00362C68" w:rsidP="00C942D3">
      <w:pPr>
        <w:pStyle w:val="Pa3"/>
        <w:numPr>
          <w:ilvl w:val="0"/>
          <w:numId w:val="3"/>
        </w:numPr>
        <w:spacing w:line="240" w:lineRule="auto"/>
        <w:rPr>
          <w:rFonts w:asciiTheme="minorHAnsi" w:hAnsiTheme="minorHAnsi" w:cs="Arial"/>
          <w:sz w:val="22"/>
          <w:szCs w:val="22"/>
        </w:rPr>
      </w:pPr>
      <w:r w:rsidRPr="00C942D3">
        <w:rPr>
          <w:rFonts w:asciiTheme="minorHAnsi" w:hAnsiTheme="minorHAnsi" w:cs="Arial"/>
          <w:b/>
          <w:bCs/>
          <w:sz w:val="22"/>
          <w:szCs w:val="22"/>
        </w:rPr>
        <w:t xml:space="preserve">Planning </w:t>
      </w:r>
      <w:r w:rsidRPr="00C942D3">
        <w:rPr>
          <w:rFonts w:asciiTheme="minorHAnsi" w:hAnsiTheme="minorHAnsi" w:cs="Arial"/>
          <w:sz w:val="22"/>
          <w:szCs w:val="22"/>
        </w:rPr>
        <w:t xml:space="preserve">CCGs and NHS England are required to always have arrangements in place to involve the public in the planning of commissioning arrangements, regardless of the impact these plans would have on services if they were implemented. </w:t>
      </w:r>
    </w:p>
    <w:p w:rsidR="00362C68" w:rsidRPr="00C942D3" w:rsidRDefault="00362C68" w:rsidP="00C942D3">
      <w:pPr>
        <w:pStyle w:val="Pa3"/>
        <w:numPr>
          <w:ilvl w:val="0"/>
          <w:numId w:val="3"/>
        </w:numPr>
        <w:spacing w:line="240" w:lineRule="auto"/>
        <w:rPr>
          <w:rFonts w:asciiTheme="minorHAnsi" w:hAnsiTheme="minorHAnsi" w:cs="Arial"/>
          <w:sz w:val="22"/>
          <w:szCs w:val="22"/>
        </w:rPr>
      </w:pPr>
      <w:r w:rsidRPr="00C942D3">
        <w:rPr>
          <w:rFonts w:asciiTheme="minorHAnsi" w:hAnsiTheme="minorHAnsi" w:cs="Arial"/>
          <w:b/>
          <w:bCs/>
          <w:sz w:val="22"/>
          <w:szCs w:val="22"/>
        </w:rPr>
        <w:t xml:space="preserve">Proposals for change </w:t>
      </w:r>
      <w:proofErr w:type="gramStart"/>
      <w:r w:rsidR="00B40A1A" w:rsidRPr="00C942D3">
        <w:rPr>
          <w:rFonts w:asciiTheme="minorHAnsi" w:hAnsiTheme="minorHAnsi" w:cs="Arial"/>
          <w:sz w:val="22"/>
          <w:szCs w:val="22"/>
        </w:rPr>
        <w:t>This</w:t>
      </w:r>
      <w:proofErr w:type="gramEnd"/>
      <w:r w:rsidR="00B40A1A" w:rsidRPr="00C942D3">
        <w:rPr>
          <w:rFonts w:asciiTheme="minorHAnsi" w:hAnsiTheme="minorHAnsi" w:cs="Arial"/>
          <w:sz w:val="22"/>
          <w:szCs w:val="22"/>
        </w:rPr>
        <w:t xml:space="preserve"> </w:t>
      </w:r>
      <w:r w:rsidRPr="00C942D3">
        <w:rPr>
          <w:rFonts w:asciiTheme="minorHAnsi" w:hAnsiTheme="minorHAnsi" w:cs="Arial"/>
          <w:sz w:val="22"/>
          <w:szCs w:val="22"/>
        </w:rPr>
        <w:t xml:space="preserve">includes not only the consideration of proposals to change services, but also the development of such proposals. </w:t>
      </w:r>
    </w:p>
    <w:p w:rsidR="00362C68" w:rsidRPr="00C942D3" w:rsidRDefault="00362C68" w:rsidP="00C942D3">
      <w:pPr>
        <w:pStyle w:val="Pa3"/>
        <w:numPr>
          <w:ilvl w:val="0"/>
          <w:numId w:val="3"/>
        </w:numPr>
        <w:spacing w:line="240" w:lineRule="auto"/>
        <w:rPr>
          <w:rFonts w:asciiTheme="minorHAnsi" w:hAnsiTheme="minorHAnsi" w:cs="Arial"/>
          <w:sz w:val="22"/>
          <w:szCs w:val="22"/>
        </w:rPr>
      </w:pPr>
      <w:r w:rsidRPr="00C942D3">
        <w:rPr>
          <w:rFonts w:asciiTheme="minorHAnsi" w:hAnsiTheme="minorHAnsi" w:cs="Arial"/>
          <w:b/>
          <w:bCs/>
          <w:sz w:val="22"/>
          <w:szCs w:val="22"/>
        </w:rPr>
        <w:t xml:space="preserve">Operational decisions </w:t>
      </w:r>
      <w:proofErr w:type="gramStart"/>
      <w:r w:rsidR="00B40A1A" w:rsidRPr="00C942D3">
        <w:rPr>
          <w:rFonts w:asciiTheme="minorHAnsi" w:hAnsiTheme="minorHAnsi" w:cs="Arial"/>
          <w:sz w:val="22"/>
          <w:szCs w:val="22"/>
        </w:rPr>
        <w:t>This</w:t>
      </w:r>
      <w:proofErr w:type="gramEnd"/>
      <w:r w:rsidR="00B40A1A" w:rsidRPr="00C942D3">
        <w:rPr>
          <w:rFonts w:asciiTheme="minorHAnsi" w:hAnsiTheme="minorHAnsi" w:cs="Arial"/>
          <w:sz w:val="22"/>
          <w:szCs w:val="22"/>
        </w:rPr>
        <w:t xml:space="preserve"> </w:t>
      </w:r>
      <w:r w:rsidRPr="00C942D3">
        <w:rPr>
          <w:rFonts w:asciiTheme="minorHAnsi" w:hAnsiTheme="minorHAnsi" w:cs="Arial"/>
          <w:sz w:val="22"/>
          <w:szCs w:val="22"/>
        </w:rPr>
        <w:t xml:space="preserve">relates to decisions that change or affect the way a service operates. </w:t>
      </w:r>
    </w:p>
    <w:p w:rsidR="00362C68" w:rsidRDefault="00362C68" w:rsidP="00C942D3">
      <w:pPr>
        <w:pStyle w:val="Pa3"/>
        <w:numPr>
          <w:ilvl w:val="0"/>
          <w:numId w:val="3"/>
        </w:numPr>
        <w:spacing w:line="240" w:lineRule="auto"/>
        <w:rPr>
          <w:rFonts w:asciiTheme="minorHAnsi" w:hAnsiTheme="minorHAnsi" w:cs="Arial"/>
          <w:sz w:val="22"/>
          <w:szCs w:val="22"/>
        </w:rPr>
      </w:pPr>
      <w:r w:rsidRPr="00C942D3">
        <w:rPr>
          <w:rFonts w:asciiTheme="minorHAnsi" w:hAnsiTheme="minorHAnsi" w:cs="Arial"/>
          <w:sz w:val="22"/>
          <w:szCs w:val="22"/>
        </w:rPr>
        <w:t xml:space="preserve">While the legislation distinguishes between these different types of commissioning activity, as can be seen by the examples opposite they often overlap and sometimes a plan, proposal or decision can fall into more than one category. </w:t>
      </w:r>
    </w:p>
    <w:p w:rsidR="00C942D3" w:rsidRPr="00C942D3" w:rsidRDefault="00C942D3" w:rsidP="00C942D3">
      <w:pPr>
        <w:pStyle w:val="Default"/>
      </w:pPr>
    </w:p>
    <w:p w:rsidR="00362C68" w:rsidRPr="00C942D3" w:rsidRDefault="00B40A1A" w:rsidP="00C942D3">
      <w:pPr>
        <w:pStyle w:val="Pa3"/>
        <w:spacing w:line="240" w:lineRule="auto"/>
        <w:rPr>
          <w:rFonts w:asciiTheme="minorHAnsi" w:hAnsiTheme="minorHAnsi" w:cs="Arial"/>
          <w:sz w:val="22"/>
          <w:szCs w:val="22"/>
        </w:rPr>
      </w:pPr>
      <w:r w:rsidRPr="00C942D3">
        <w:rPr>
          <w:rFonts w:asciiTheme="minorHAnsi" w:hAnsiTheme="minorHAnsi" w:cs="Arial"/>
          <w:b/>
          <w:bCs/>
          <w:sz w:val="22"/>
          <w:szCs w:val="22"/>
        </w:rPr>
        <w:t xml:space="preserve">2 </w:t>
      </w:r>
      <w:r w:rsidRPr="00C942D3">
        <w:rPr>
          <w:rFonts w:asciiTheme="minorHAnsi" w:hAnsiTheme="minorHAnsi" w:cs="Arial"/>
          <w:b/>
          <w:bCs/>
          <w:sz w:val="22"/>
          <w:szCs w:val="22"/>
        </w:rPr>
        <w:tab/>
      </w:r>
      <w:r w:rsidR="00362C68" w:rsidRPr="00C942D3">
        <w:rPr>
          <w:rFonts w:asciiTheme="minorHAnsi" w:hAnsiTheme="minorHAnsi" w:cs="Arial"/>
          <w:b/>
          <w:bCs/>
          <w:sz w:val="22"/>
          <w:szCs w:val="22"/>
        </w:rPr>
        <w:t xml:space="preserve">Review existing insight and previous involvement activities– what do we already know? </w:t>
      </w:r>
    </w:p>
    <w:p w:rsidR="00362C68" w:rsidRPr="00C942D3" w:rsidRDefault="00B40A1A" w:rsidP="00C942D3">
      <w:pPr>
        <w:pStyle w:val="Pa3"/>
        <w:spacing w:line="240" w:lineRule="auto"/>
        <w:rPr>
          <w:rFonts w:asciiTheme="minorHAnsi" w:hAnsiTheme="minorHAnsi" w:cs="Arial"/>
          <w:sz w:val="22"/>
          <w:szCs w:val="22"/>
        </w:rPr>
      </w:pPr>
      <w:r w:rsidRPr="00C942D3">
        <w:rPr>
          <w:rFonts w:asciiTheme="minorHAnsi" w:hAnsiTheme="minorHAnsi" w:cs="Arial"/>
          <w:sz w:val="22"/>
          <w:szCs w:val="22"/>
        </w:rPr>
        <w:t>C</w:t>
      </w:r>
      <w:r w:rsidR="00362C68" w:rsidRPr="00C942D3">
        <w:rPr>
          <w:rFonts w:asciiTheme="minorHAnsi" w:hAnsiTheme="minorHAnsi" w:cs="Arial"/>
          <w:sz w:val="22"/>
          <w:szCs w:val="22"/>
        </w:rPr>
        <w:t>onsider whether there are existing sources of feedback and insight on the views and experiences</w:t>
      </w:r>
      <w:r w:rsidRPr="00C942D3">
        <w:rPr>
          <w:rFonts w:asciiTheme="minorHAnsi" w:hAnsiTheme="minorHAnsi" w:cs="Arial"/>
          <w:sz w:val="22"/>
          <w:szCs w:val="22"/>
        </w:rPr>
        <w:t xml:space="preserve"> of different groups of people, and what are the gaps?</w:t>
      </w:r>
      <w:r w:rsidR="00362C68" w:rsidRPr="00C942D3">
        <w:rPr>
          <w:rFonts w:asciiTheme="minorHAnsi" w:hAnsiTheme="minorHAnsi" w:cs="Arial"/>
          <w:sz w:val="22"/>
          <w:szCs w:val="22"/>
        </w:rPr>
        <w:t xml:space="preserve"> This helps to ensure that public involvement is focused and meaningful, rather than being generic and imposing an unnecessary burden on people. </w:t>
      </w:r>
      <w:proofErr w:type="gramStart"/>
      <w:r w:rsidRPr="00C942D3">
        <w:rPr>
          <w:rFonts w:asciiTheme="minorHAnsi" w:hAnsiTheme="minorHAnsi" w:cs="Arial"/>
          <w:sz w:val="22"/>
          <w:szCs w:val="22"/>
        </w:rPr>
        <w:t>this</w:t>
      </w:r>
      <w:proofErr w:type="gramEnd"/>
      <w:r w:rsidRPr="00C942D3">
        <w:rPr>
          <w:rFonts w:asciiTheme="minorHAnsi" w:hAnsiTheme="minorHAnsi" w:cs="Arial"/>
          <w:sz w:val="22"/>
          <w:szCs w:val="22"/>
        </w:rPr>
        <w:t xml:space="preserve"> might include:-</w:t>
      </w:r>
    </w:p>
    <w:p w:rsidR="00B40A1A" w:rsidRPr="00C942D3" w:rsidRDefault="00B40A1A" w:rsidP="00C942D3">
      <w:pPr>
        <w:pStyle w:val="Pa15"/>
        <w:numPr>
          <w:ilvl w:val="0"/>
          <w:numId w:val="5"/>
        </w:numPr>
        <w:spacing w:line="240" w:lineRule="auto"/>
        <w:ind w:right="280"/>
        <w:rPr>
          <w:rFonts w:asciiTheme="minorHAnsi" w:hAnsiTheme="minorHAnsi" w:cs="Arial"/>
          <w:sz w:val="22"/>
          <w:szCs w:val="22"/>
        </w:rPr>
        <w:sectPr w:rsidR="00B40A1A" w:rsidRPr="00C942D3" w:rsidSect="007C5438">
          <w:footerReference w:type="default" r:id="rId12"/>
          <w:pgSz w:w="11906" w:h="16838"/>
          <w:pgMar w:top="720" w:right="720" w:bottom="720" w:left="720" w:header="708" w:footer="708" w:gutter="0"/>
          <w:cols w:space="708"/>
          <w:docGrid w:linePitch="360"/>
        </w:sectPr>
      </w:pPr>
    </w:p>
    <w:p w:rsidR="00362C68" w:rsidRPr="00C942D3" w:rsidRDefault="00B40A1A" w:rsidP="00C942D3">
      <w:pPr>
        <w:pStyle w:val="Pa15"/>
        <w:numPr>
          <w:ilvl w:val="0"/>
          <w:numId w:val="5"/>
        </w:numPr>
        <w:spacing w:line="240" w:lineRule="auto"/>
        <w:ind w:right="280"/>
        <w:rPr>
          <w:rFonts w:asciiTheme="minorHAnsi" w:hAnsiTheme="minorHAnsi" w:cs="Arial"/>
          <w:sz w:val="22"/>
          <w:szCs w:val="22"/>
        </w:rPr>
      </w:pPr>
      <w:r w:rsidRPr="00C942D3">
        <w:rPr>
          <w:rFonts w:asciiTheme="minorHAnsi" w:hAnsiTheme="minorHAnsi" w:cs="Arial"/>
          <w:sz w:val="22"/>
          <w:szCs w:val="22"/>
        </w:rPr>
        <w:t>S</w:t>
      </w:r>
      <w:r w:rsidR="00362C68" w:rsidRPr="00C942D3">
        <w:rPr>
          <w:rFonts w:asciiTheme="minorHAnsi" w:hAnsiTheme="minorHAnsi" w:cs="Arial"/>
          <w:sz w:val="22"/>
          <w:szCs w:val="22"/>
        </w:rPr>
        <w:t xml:space="preserve">urveys </w:t>
      </w:r>
    </w:p>
    <w:p w:rsidR="00362C68" w:rsidRPr="00C942D3" w:rsidRDefault="00B40A1A" w:rsidP="00C942D3">
      <w:pPr>
        <w:pStyle w:val="Pa15"/>
        <w:numPr>
          <w:ilvl w:val="0"/>
          <w:numId w:val="5"/>
        </w:numPr>
        <w:spacing w:line="240" w:lineRule="auto"/>
        <w:ind w:right="280"/>
        <w:rPr>
          <w:rFonts w:asciiTheme="minorHAnsi" w:hAnsiTheme="minorHAnsi" w:cs="Arial"/>
          <w:sz w:val="22"/>
          <w:szCs w:val="22"/>
        </w:rPr>
      </w:pPr>
      <w:r w:rsidRPr="00C942D3">
        <w:rPr>
          <w:rFonts w:asciiTheme="minorHAnsi" w:hAnsiTheme="minorHAnsi" w:cs="Arial"/>
          <w:sz w:val="22"/>
          <w:szCs w:val="22"/>
        </w:rPr>
        <w:t>S</w:t>
      </w:r>
      <w:r w:rsidR="00362C68" w:rsidRPr="00C942D3">
        <w:rPr>
          <w:rFonts w:asciiTheme="minorHAnsi" w:hAnsiTheme="minorHAnsi" w:cs="Arial"/>
          <w:sz w:val="22"/>
          <w:szCs w:val="22"/>
        </w:rPr>
        <w:t xml:space="preserve">ocial media </w:t>
      </w:r>
    </w:p>
    <w:p w:rsidR="00362C68" w:rsidRPr="00C942D3" w:rsidRDefault="00362C68" w:rsidP="00C942D3">
      <w:pPr>
        <w:pStyle w:val="Pa15"/>
        <w:numPr>
          <w:ilvl w:val="0"/>
          <w:numId w:val="5"/>
        </w:numPr>
        <w:spacing w:line="240" w:lineRule="auto"/>
        <w:ind w:right="280"/>
        <w:rPr>
          <w:rFonts w:asciiTheme="minorHAnsi" w:hAnsiTheme="minorHAnsi" w:cs="Arial"/>
          <w:sz w:val="22"/>
          <w:szCs w:val="22"/>
        </w:rPr>
      </w:pPr>
      <w:r w:rsidRPr="00C942D3">
        <w:rPr>
          <w:rFonts w:asciiTheme="minorHAnsi" w:hAnsiTheme="minorHAnsi" w:cs="Arial"/>
          <w:sz w:val="22"/>
          <w:szCs w:val="22"/>
        </w:rPr>
        <w:t xml:space="preserve">Healthwatch reports </w:t>
      </w:r>
    </w:p>
    <w:p w:rsidR="00362C68" w:rsidRPr="00C942D3" w:rsidRDefault="00362C68" w:rsidP="00C942D3">
      <w:pPr>
        <w:pStyle w:val="Pa15"/>
        <w:numPr>
          <w:ilvl w:val="0"/>
          <w:numId w:val="5"/>
        </w:numPr>
        <w:spacing w:line="240" w:lineRule="auto"/>
        <w:ind w:right="280"/>
        <w:rPr>
          <w:rFonts w:asciiTheme="minorHAnsi" w:hAnsiTheme="minorHAnsi" w:cs="Arial"/>
          <w:sz w:val="22"/>
          <w:szCs w:val="22"/>
        </w:rPr>
      </w:pPr>
      <w:r w:rsidRPr="00C942D3">
        <w:rPr>
          <w:rStyle w:val="A6"/>
          <w:rFonts w:asciiTheme="minorHAnsi" w:hAnsiTheme="minorHAnsi" w:cs="Arial"/>
          <w:sz w:val="22"/>
          <w:szCs w:val="22"/>
          <w:u w:val="none"/>
        </w:rPr>
        <w:t xml:space="preserve">Care Quality Commission </w:t>
      </w:r>
      <w:r w:rsidRPr="00C942D3">
        <w:rPr>
          <w:rFonts w:asciiTheme="minorHAnsi" w:hAnsiTheme="minorHAnsi" w:cs="Arial"/>
          <w:sz w:val="22"/>
          <w:szCs w:val="22"/>
        </w:rPr>
        <w:t xml:space="preserve">(CQC) reviews </w:t>
      </w:r>
    </w:p>
    <w:p w:rsidR="00362C68" w:rsidRPr="00C942D3" w:rsidRDefault="00B40A1A" w:rsidP="00C942D3">
      <w:pPr>
        <w:pStyle w:val="Pa15"/>
        <w:numPr>
          <w:ilvl w:val="0"/>
          <w:numId w:val="5"/>
        </w:numPr>
        <w:spacing w:line="240" w:lineRule="auto"/>
        <w:ind w:right="280"/>
        <w:rPr>
          <w:rFonts w:asciiTheme="minorHAnsi" w:hAnsiTheme="minorHAnsi" w:cs="Arial"/>
          <w:sz w:val="22"/>
          <w:szCs w:val="22"/>
        </w:rPr>
      </w:pPr>
      <w:r w:rsidRPr="00C942D3">
        <w:rPr>
          <w:rFonts w:asciiTheme="minorHAnsi" w:hAnsiTheme="minorHAnsi" w:cs="Arial"/>
          <w:sz w:val="22"/>
          <w:szCs w:val="22"/>
        </w:rPr>
        <w:t>R</w:t>
      </w:r>
      <w:r w:rsidR="00362C68" w:rsidRPr="00C942D3">
        <w:rPr>
          <w:rFonts w:asciiTheme="minorHAnsi" w:hAnsiTheme="minorHAnsi" w:cs="Arial"/>
          <w:sz w:val="22"/>
          <w:szCs w:val="22"/>
        </w:rPr>
        <w:t xml:space="preserve">esearch reports </w:t>
      </w:r>
    </w:p>
    <w:p w:rsidR="00362C68" w:rsidRPr="00C942D3" w:rsidRDefault="00B40A1A" w:rsidP="00C942D3">
      <w:pPr>
        <w:pStyle w:val="Pa15"/>
        <w:numPr>
          <w:ilvl w:val="0"/>
          <w:numId w:val="5"/>
        </w:numPr>
        <w:spacing w:line="240" w:lineRule="auto"/>
        <w:ind w:right="280"/>
        <w:rPr>
          <w:rFonts w:asciiTheme="minorHAnsi" w:hAnsiTheme="minorHAnsi" w:cs="Arial"/>
          <w:sz w:val="22"/>
          <w:szCs w:val="22"/>
        </w:rPr>
      </w:pPr>
      <w:r w:rsidRPr="00C942D3">
        <w:rPr>
          <w:rFonts w:asciiTheme="minorHAnsi" w:hAnsiTheme="minorHAnsi" w:cs="Arial"/>
          <w:sz w:val="22"/>
          <w:szCs w:val="22"/>
        </w:rPr>
        <w:t>C</w:t>
      </w:r>
      <w:r w:rsidR="00362C68" w:rsidRPr="00C942D3">
        <w:rPr>
          <w:rFonts w:asciiTheme="minorHAnsi" w:hAnsiTheme="minorHAnsi" w:cs="Arial"/>
          <w:sz w:val="22"/>
          <w:szCs w:val="22"/>
        </w:rPr>
        <w:t xml:space="preserve">omplaints </w:t>
      </w:r>
    </w:p>
    <w:p w:rsidR="00362C68" w:rsidRPr="00C942D3" w:rsidRDefault="00362C68" w:rsidP="00C942D3">
      <w:pPr>
        <w:pStyle w:val="Pa15"/>
        <w:numPr>
          <w:ilvl w:val="0"/>
          <w:numId w:val="5"/>
        </w:numPr>
        <w:spacing w:line="240" w:lineRule="auto"/>
        <w:ind w:right="280"/>
        <w:rPr>
          <w:rFonts w:asciiTheme="minorHAnsi" w:hAnsiTheme="minorHAnsi" w:cs="Arial"/>
          <w:sz w:val="22"/>
          <w:szCs w:val="22"/>
        </w:rPr>
      </w:pPr>
      <w:r w:rsidRPr="00C942D3">
        <w:rPr>
          <w:rStyle w:val="A6"/>
          <w:rFonts w:asciiTheme="minorHAnsi" w:hAnsiTheme="minorHAnsi" w:cs="Arial"/>
          <w:sz w:val="22"/>
          <w:szCs w:val="22"/>
          <w:u w:val="none"/>
        </w:rPr>
        <w:t xml:space="preserve">Patient Experience Library </w:t>
      </w:r>
    </w:p>
    <w:p w:rsidR="00362C68" w:rsidRPr="00C942D3" w:rsidRDefault="00B40A1A" w:rsidP="00C942D3">
      <w:pPr>
        <w:pStyle w:val="Pa15"/>
        <w:numPr>
          <w:ilvl w:val="0"/>
          <w:numId w:val="5"/>
        </w:numPr>
        <w:spacing w:line="240" w:lineRule="auto"/>
        <w:ind w:right="280"/>
        <w:rPr>
          <w:rFonts w:asciiTheme="minorHAnsi" w:hAnsiTheme="minorHAnsi" w:cs="Arial"/>
          <w:sz w:val="22"/>
          <w:szCs w:val="22"/>
        </w:rPr>
      </w:pPr>
      <w:r w:rsidRPr="00C942D3">
        <w:rPr>
          <w:rFonts w:asciiTheme="minorHAnsi" w:hAnsiTheme="minorHAnsi" w:cs="Arial"/>
          <w:sz w:val="22"/>
          <w:szCs w:val="22"/>
        </w:rPr>
        <w:t>I</w:t>
      </w:r>
      <w:r w:rsidR="00362C68" w:rsidRPr="00C942D3">
        <w:rPr>
          <w:rFonts w:asciiTheme="minorHAnsi" w:hAnsiTheme="minorHAnsi" w:cs="Arial"/>
          <w:sz w:val="22"/>
          <w:szCs w:val="22"/>
        </w:rPr>
        <w:t xml:space="preserve">ntelligence from NHS bodies, the VCSE sector and local authorities </w:t>
      </w:r>
    </w:p>
    <w:p w:rsidR="00362C68" w:rsidRPr="00C942D3" w:rsidRDefault="00B40A1A" w:rsidP="00C942D3">
      <w:pPr>
        <w:pStyle w:val="Pa15"/>
        <w:numPr>
          <w:ilvl w:val="0"/>
          <w:numId w:val="5"/>
        </w:numPr>
        <w:spacing w:line="240" w:lineRule="auto"/>
        <w:ind w:right="280"/>
        <w:rPr>
          <w:rFonts w:asciiTheme="minorHAnsi" w:hAnsiTheme="minorHAnsi" w:cs="Arial"/>
          <w:sz w:val="22"/>
          <w:szCs w:val="22"/>
        </w:rPr>
      </w:pPr>
      <w:r w:rsidRPr="00C942D3">
        <w:rPr>
          <w:rFonts w:asciiTheme="minorHAnsi" w:hAnsiTheme="minorHAnsi" w:cs="Arial"/>
          <w:sz w:val="22"/>
          <w:szCs w:val="22"/>
        </w:rPr>
        <w:t>S</w:t>
      </w:r>
      <w:r w:rsidR="00362C68" w:rsidRPr="00C942D3">
        <w:rPr>
          <w:rFonts w:asciiTheme="minorHAnsi" w:hAnsiTheme="minorHAnsi" w:cs="Arial"/>
          <w:sz w:val="22"/>
          <w:szCs w:val="22"/>
        </w:rPr>
        <w:t xml:space="preserve">taff feedback including their own views, </w:t>
      </w:r>
      <w:r w:rsidRPr="00C942D3">
        <w:rPr>
          <w:rFonts w:asciiTheme="minorHAnsi" w:hAnsiTheme="minorHAnsi" w:cs="Arial"/>
          <w:sz w:val="22"/>
          <w:szCs w:val="22"/>
        </w:rPr>
        <w:t>and what they’ve heard</w:t>
      </w:r>
    </w:p>
    <w:p w:rsidR="00B40A1A" w:rsidRPr="00C942D3" w:rsidRDefault="00B40A1A" w:rsidP="00C942D3">
      <w:pPr>
        <w:pStyle w:val="Default"/>
        <w:numPr>
          <w:ilvl w:val="0"/>
          <w:numId w:val="5"/>
        </w:numPr>
        <w:rPr>
          <w:rFonts w:asciiTheme="minorHAnsi" w:hAnsiTheme="minorHAnsi"/>
          <w:sz w:val="22"/>
          <w:szCs w:val="22"/>
        </w:rPr>
      </w:pPr>
      <w:r w:rsidRPr="00C942D3">
        <w:rPr>
          <w:rFonts w:asciiTheme="minorHAnsi" w:hAnsiTheme="minorHAnsi"/>
          <w:sz w:val="22"/>
          <w:szCs w:val="22"/>
        </w:rPr>
        <w:t xml:space="preserve">Previous engagement </w:t>
      </w:r>
      <w:proofErr w:type="spellStart"/>
      <w:r w:rsidRPr="00C942D3">
        <w:rPr>
          <w:rFonts w:asciiTheme="minorHAnsi" w:hAnsiTheme="minorHAnsi"/>
          <w:sz w:val="22"/>
          <w:szCs w:val="22"/>
        </w:rPr>
        <w:t>excercises</w:t>
      </w:r>
      <w:proofErr w:type="spellEnd"/>
    </w:p>
    <w:p w:rsidR="00B40A1A" w:rsidRPr="00C942D3" w:rsidRDefault="00B40A1A" w:rsidP="00C942D3">
      <w:pPr>
        <w:pStyle w:val="Default"/>
        <w:rPr>
          <w:rFonts w:asciiTheme="minorHAnsi" w:hAnsiTheme="minorHAnsi"/>
          <w:sz w:val="22"/>
          <w:szCs w:val="22"/>
        </w:rPr>
        <w:sectPr w:rsidR="00B40A1A" w:rsidRPr="00C942D3" w:rsidSect="00B40A1A">
          <w:type w:val="continuous"/>
          <w:pgSz w:w="11906" w:h="16838"/>
          <w:pgMar w:top="720" w:right="720" w:bottom="720" w:left="720" w:header="708" w:footer="708" w:gutter="0"/>
          <w:cols w:num="2" w:space="708"/>
          <w:docGrid w:linePitch="360"/>
        </w:sectPr>
      </w:pPr>
    </w:p>
    <w:p w:rsidR="00B40A1A" w:rsidRPr="00C942D3" w:rsidRDefault="00B40A1A" w:rsidP="00C942D3">
      <w:pPr>
        <w:pStyle w:val="Default"/>
        <w:rPr>
          <w:rFonts w:asciiTheme="minorHAnsi" w:hAnsiTheme="minorHAnsi"/>
          <w:sz w:val="22"/>
          <w:szCs w:val="22"/>
        </w:rPr>
      </w:pPr>
    </w:p>
    <w:p w:rsidR="00362C68" w:rsidRPr="00C942D3" w:rsidRDefault="00B40A1A" w:rsidP="00C942D3">
      <w:pPr>
        <w:pStyle w:val="Default"/>
        <w:rPr>
          <w:rFonts w:asciiTheme="minorHAnsi" w:hAnsiTheme="minorHAnsi" w:cs="Arial"/>
          <w:color w:val="auto"/>
          <w:sz w:val="22"/>
          <w:szCs w:val="22"/>
        </w:rPr>
      </w:pPr>
      <w:r w:rsidRPr="00C942D3">
        <w:rPr>
          <w:rFonts w:asciiTheme="minorHAnsi" w:hAnsiTheme="minorHAnsi" w:cs="Arial"/>
          <w:b/>
          <w:bCs/>
          <w:color w:val="auto"/>
          <w:sz w:val="22"/>
          <w:szCs w:val="22"/>
        </w:rPr>
        <w:t xml:space="preserve">3 </w:t>
      </w:r>
      <w:r w:rsidRPr="00C942D3">
        <w:rPr>
          <w:rFonts w:asciiTheme="minorHAnsi" w:hAnsiTheme="minorHAnsi" w:cs="Arial"/>
          <w:b/>
          <w:bCs/>
          <w:color w:val="auto"/>
          <w:sz w:val="22"/>
          <w:szCs w:val="22"/>
        </w:rPr>
        <w:tab/>
        <w:t>Think about w</w:t>
      </w:r>
      <w:r w:rsidR="00362C68" w:rsidRPr="00C942D3">
        <w:rPr>
          <w:rFonts w:asciiTheme="minorHAnsi" w:hAnsiTheme="minorHAnsi" w:cs="Arial"/>
          <w:b/>
          <w:bCs/>
          <w:color w:val="auto"/>
          <w:sz w:val="22"/>
          <w:szCs w:val="22"/>
        </w:rPr>
        <w:t xml:space="preserve">ho needs to be involved? </w:t>
      </w:r>
    </w:p>
    <w:p w:rsidR="00B40A1A" w:rsidRPr="00C942D3" w:rsidRDefault="00B40A1A" w:rsidP="00C942D3">
      <w:pPr>
        <w:pStyle w:val="Pa3"/>
        <w:spacing w:line="240" w:lineRule="auto"/>
        <w:rPr>
          <w:rFonts w:asciiTheme="minorHAnsi" w:hAnsiTheme="minorHAnsi" w:cs="Arial"/>
          <w:sz w:val="22"/>
          <w:szCs w:val="22"/>
        </w:rPr>
      </w:pPr>
      <w:r w:rsidRPr="00C942D3">
        <w:rPr>
          <w:rFonts w:asciiTheme="minorHAnsi" w:hAnsiTheme="minorHAnsi" w:cs="Arial"/>
          <w:sz w:val="22"/>
          <w:szCs w:val="22"/>
        </w:rPr>
        <w:t>Identify</w:t>
      </w:r>
      <w:r w:rsidR="00362C68" w:rsidRPr="00C942D3">
        <w:rPr>
          <w:rFonts w:asciiTheme="minorHAnsi" w:hAnsiTheme="minorHAnsi" w:cs="Arial"/>
          <w:sz w:val="22"/>
          <w:szCs w:val="22"/>
        </w:rPr>
        <w:t xml:space="preserve"> the range of partners who may have an interest in involvement and a useful contribution to make. It may be helpful to involve members of self help and support groups, Healthwatch, faith groups, patient and carer groups, local neighbourhood </w:t>
      </w:r>
      <w:r w:rsidRPr="00C942D3">
        <w:rPr>
          <w:rFonts w:asciiTheme="minorHAnsi" w:hAnsiTheme="minorHAnsi" w:cs="Arial"/>
          <w:sz w:val="22"/>
          <w:szCs w:val="22"/>
        </w:rPr>
        <w:t xml:space="preserve">or social action groups, </w:t>
      </w:r>
      <w:proofErr w:type="spellStart"/>
      <w:r w:rsidRPr="00C942D3">
        <w:rPr>
          <w:rFonts w:asciiTheme="minorHAnsi" w:hAnsiTheme="minorHAnsi" w:cs="Arial"/>
          <w:sz w:val="22"/>
          <w:szCs w:val="22"/>
        </w:rPr>
        <w:t>PPGslocal</w:t>
      </w:r>
      <w:proofErr w:type="spellEnd"/>
      <w:r w:rsidRPr="00C942D3">
        <w:rPr>
          <w:rFonts w:asciiTheme="minorHAnsi" w:hAnsiTheme="minorHAnsi" w:cs="Arial"/>
          <w:sz w:val="22"/>
          <w:szCs w:val="22"/>
        </w:rPr>
        <w:t xml:space="preserve"> c</w:t>
      </w:r>
      <w:r w:rsidR="00362C68" w:rsidRPr="00C942D3">
        <w:rPr>
          <w:rFonts w:asciiTheme="minorHAnsi" w:hAnsiTheme="minorHAnsi" w:cs="Arial"/>
          <w:sz w:val="22"/>
          <w:szCs w:val="22"/>
        </w:rPr>
        <w:t>harities</w:t>
      </w:r>
      <w:r w:rsidRPr="00C942D3">
        <w:rPr>
          <w:rFonts w:asciiTheme="minorHAnsi" w:hAnsiTheme="minorHAnsi" w:cs="Arial"/>
          <w:sz w:val="22"/>
          <w:szCs w:val="22"/>
        </w:rPr>
        <w:t xml:space="preserve"> as well as current patients and those who may use services in future, carers and families. </w:t>
      </w:r>
    </w:p>
    <w:p w:rsidR="00362C68" w:rsidRPr="00C942D3" w:rsidRDefault="00B40A1A" w:rsidP="00C942D3">
      <w:pPr>
        <w:pStyle w:val="Pa3"/>
        <w:spacing w:line="240" w:lineRule="auto"/>
        <w:rPr>
          <w:rFonts w:asciiTheme="minorHAnsi" w:hAnsiTheme="minorHAnsi" w:cs="Arial"/>
          <w:sz w:val="22"/>
          <w:szCs w:val="22"/>
        </w:rPr>
      </w:pPr>
      <w:r w:rsidRPr="00C942D3">
        <w:rPr>
          <w:rFonts w:asciiTheme="minorHAnsi" w:hAnsiTheme="minorHAnsi" w:cs="Arial"/>
          <w:sz w:val="22"/>
          <w:szCs w:val="22"/>
        </w:rPr>
        <w:t xml:space="preserve">Engagement might be direct </w:t>
      </w:r>
      <w:r w:rsidR="00362C68" w:rsidRPr="00C942D3">
        <w:rPr>
          <w:rFonts w:asciiTheme="minorHAnsi" w:hAnsiTheme="minorHAnsi" w:cs="Arial"/>
          <w:sz w:val="22"/>
          <w:szCs w:val="22"/>
        </w:rPr>
        <w:t xml:space="preserve">with the population affected by the commissioning activity, but </w:t>
      </w:r>
      <w:r w:rsidRPr="00C942D3">
        <w:rPr>
          <w:rFonts w:asciiTheme="minorHAnsi" w:hAnsiTheme="minorHAnsi" w:cs="Arial"/>
          <w:sz w:val="22"/>
          <w:szCs w:val="22"/>
        </w:rPr>
        <w:t>could</w:t>
      </w:r>
      <w:r w:rsidR="00362C68" w:rsidRPr="00C942D3">
        <w:rPr>
          <w:rFonts w:asciiTheme="minorHAnsi" w:hAnsiTheme="minorHAnsi" w:cs="Arial"/>
          <w:sz w:val="22"/>
          <w:szCs w:val="22"/>
        </w:rPr>
        <w:t xml:space="preserve"> take place via representatives</w:t>
      </w:r>
      <w:r w:rsidRPr="00C942D3">
        <w:rPr>
          <w:rFonts w:asciiTheme="minorHAnsi" w:hAnsiTheme="minorHAnsi" w:cs="Arial"/>
          <w:sz w:val="22"/>
          <w:szCs w:val="22"/>
        </w:rPr>
        <w:t xml:space="preserve">, where </w:t>
      </w:r>
      <w:r w:rsidR="00362C68" w:rsidRPr="00C942D3">
        <w:rPr>
          <w:rFonts w:asciiTheme="minorHAnsi" w:hAnsiTheme="minorHAnsi" w:cs="Arial"/>
          <w:sz w:val="22"/>
          <w:szCs w:val="22"/>
        </w:rPr>
        <w:t>representatives offer a fair reflection of the views of others</w:t>
      </w:r>
      <w:r w:rsidRPr="00C942D3">
        <w:rPr>
          <w:rFonts w:asciiTheme="minorHAnsi" w:hAnsiTheme="minorHAnsi" w:cs="Arial"/>
          <w:sz w:val="22"/>
          <w:szCs w:val="22"/>
        </w:rPr>
        <w:t xml:space="preserve">, and where this is </w:t>
      </w:r>
      <w:r w:rsidR="00362C68" w:rsidRPr="00C942D3">
        <w:rPr>
          <w:rFonts w:asciiTheme="minorHAnsi" w:hAnsiTheme="minorHAnsi" w:cs="Arial"/>
          <w:sz w:val="22"/>
          <w:szCs w:val="22"/>
        </w:rPr>
        <w:t xml:space="preserve">practicable or proportionate. </w:t>
      </w:r>
    </w:p>
    <w:p w:rsidR="00362C68" w:rsidRPr="00C942D3" w:rsidRDefault="00362C68" w:rsidP="00C942D3">
      <w:pPr>
        <w:pStyle w:val="Default"/>
        <w:rPr>
          <w:rFonts w:asciiTheme="minorHAnsi" w:hAnsiTheme="minorHAnsi" w:cs="Arial"/>
          <w:b/>
          <w:bCs/>
          <w:color w:val="auto"/>
          <w:sz w:val="22"/>
          <w:szCs w:val="22"/>
        </w:rPr>
      </w:pPr>
    </w:p>
    <w:p w:rsidR="00362C68" w:rsidRPr="00C942D3" w:rsidRDefault="00B40A1A" w:rsidP="00C942D3">
      <w:pPr>
        <w:pStyle w:val="Default"/>
        <w:rPr>
          <w:rFonts w:asciiTheme="minorHAnsi" w:hAnsiTheme="minorHAnsi" w:cs="Arial"/>
          <w:color w:val="auto"/>
          <w:sz w:val="22"/>
          <w:szCs w:val="22"/>
        </w:rPr>
      </w:pPr>
      <w:r w:rsidRPr="00C942D3">
        <w:rPr>
          <w:rFonts w:asciiTheme="minorHAnsi" w:hAnsiTheme="minorHAnsi" w:cs="Arial"/>
          <w:b/>
          <w:bCs/>
          <w:color w:val="auto"/>
          <w:sz w:val="22"/>
          <w:szCs w:val="22"/>
        </w:rPr>
        <w:t>4</w:t>
      </w:r>
      <w:r w:rsidRPr="00C942D3">
        <w:rPr>
          <w:rFonts w:asciiTheme="minorHAnsi" w:hAnsiTheme="minorHAnsi" w:cs="Arial"/>
          <w:b/>
          <w:bCs/>
          <w:color w:val="auto"/>
          <w:sz w:val="22"/>
          <w:szCs w:val="22"/>
        </w:rPr>
        <w:tab/>
      </w:r>
      <w:r w:rsidR="00C95D3A" w:rsidRPr="00C942D3">
        <w:rPr>
          <w:rFonts w:asciiTheme="minorHAnsi" w:hAnsiTheme="minorHAnsi" w:cs="Arial"/>
          <w:b/>
          <w:bCs/>
          <w:color w:val="auto"/>
          <w:sz w:val="22"/>
          <w:szCs w:val="22"/>
        </w:rPr>
        <w:t>Fair and Proportionate</w:t>
      </w:r>
      <w:r w:rsidR="00362C68" w:rsidRPr="00C942D3">
        <w:rPr>
          <w:rFonts w:asciiTheme="minorHAnsi" w:hAnsiTheme="minorHAnsi" w:cs="Arial"/>
          <w:b/>
          <w:bCs/>
          <w:color w:val="auto"/>
          <w:sz w:val="22"/>
          <w:szCs w:val="22"/>
        </w:rPr>
        <w:t xml:space="preserve"> </w:t>
      </w:r>
    </w:p>
    <w:p w:rsidR="00362C68" w:rsidRPr="00C942D3" w:rsidRDefault="00C95D3A" w:rsidP="00C942D3">
      <w:pPr>
        <w:pStyle w:val="Pa3"/>
        <w:spacing w:line="240" w:lineRule="auto"/>
        <w:rPr>
          <w:rFonts w:asciiTheme="minorHAnsi" w:hAnsiTheme="minorHAnsi" w:cs="Arial"/>
          <w:sz w:val="22"/>
          <w:szCs w:val="22"/>
        </w:rPr>
      </w:pPr>
      <w:r w:rsidRPr="00C942D3">
        <w:rPr>
          <w:rFonts w:asciiTheme="minorHAnsi" w:hAnsiTheme="minorHAnsi" w:cs="Arial"/>
          <w:sz w:val="22"/>
          <w:szCs w:val="22"/>
        </w:rPr>
        <w:t xml:space="preserve">We have to consider </w:t>
      </w:r>
      <w:proofErr w:type="gramStart"/>
      <w:r w:rsidRPr="00C942D3">
        <w:rPr>
          <w:rFonts w:asciiTheme="minorHAnsi" w:hAnsiTheme="minorHAnsi" w:cs="Arial"/>
          <w:sz w:val="22"/>
          <w:szCs w:val="22"/>
        </w:rPr>
        <w:t xml:space="preserve">what </w:t>
      </w:r>
      <w:r w:rsidR="00362C68" w:rsidRPr="00C942D3">
        <w:rPr>
          <w:rFonts w:asciiTheme="minorHAnsi" w:hAnsiTheme="minorHAnsi" w:cs="Arial"/>
          <w:sz w:val="22"/>
          <w:szCs w:val="22"/>
        </w:rPr>
        <w:t xml:space="preserve">is a </w:t>
      </w:r>
      <w:r w:rsidR="00362C68" w:rsidRPr="00C942D3">
        <w:rPr>
          <w:rFonts w:asciiTheme="minorHAnsi" w:hAnsiTheme="minorHAnsi" w:cs="Arial"/>
          <w:b/>
          <w:sz w:val="22"/>
          <w:szCs w:val="22"/>
        </w:rPr>
        <w:t>‘fair and proportionate</w:t>
      </w:r>
      <w:r w:rsidR="00362C68" w:rsidRPr="00C942D3">
        <w:rPr>
          <w:rFonts w:asciiTheme="minorHAnsi" w:hAnsiTheme="minorHAnsi" w:cs="Arial"/>
          <w:sz w:val="22"/>
          <w:szCs w:val="22"/>
        </w:rPr>
        <w:t>’ approach to the circumstances</w:t>
      </w:r>
      <w:proofErr w:type="gramEnd"/>
      <w:r w:rsidR="00362C68" w:rsidRPr="00C942D3">
        <w:rPr>
          <w:rFonts w:asciiTheme="minorHAnsi" w:hAnsiTheme="minorHAnsi" w:cs="Arial"/>
          <w:sz w:val="22"/>
          <w:szCs w:val="22"/>
        </w:rPr>
        <w:t xml:space="preserve">. This is not an area where definitive advice can be offered without knowledge of the specific circumstances. Where </w:t>
      </w:r>
      <w:proofErr w:type="gramStart"/>
      <w:r w:rsidR="00362C68" w:rsidRPr="00C942D3">
        <w:rPr>
          <w:rFonts w:asciiTheme="minorHAnsi" w:hAnsiTheme="minorHAnsi" w:cs="Arial"/>
          <w:sz w:val="22"/>
          <w:szCs w:val="22"/>
        </w:rPr>
        <w:t>staff need</w:t>
      </w:r>
      <w:proofErr w:type="gramEnd"/>
      <w:r w:rsidR="00362C68" w:rsidRPr="00C942D3">
        <w:rPr>
          <w:rFonts w:asciiTheme="minorHAnsi" w:hAnsiTheme="minorHAnsi" w:cs="Arial"/>
          <w:sz w:val="22"/>
          <w:szCs w:val="22"/>
        </w:rPr>
        <w:t xml:space="preserve"> to make a particularly complex or potentially contentious judgement, they may wish to consider seeking legal advice. </w:t>
      </w:r>
    </w:p>
    <w:p w:rsidR="00362C68" w:rsidRPr="00C942D3" w:rsidRDefault="00362C68" w:rsidP="00C942D3">
      <w:pPr>
        <w:pStyle w:val="Pa3"/>
        <w:spacing w:line="240" w:lineRule="auto"/>
        <w:ind w:left="720"/>
        <w:rPr>
          <w:rFonts w:asciiTheme="minorHAnsi" w:hAnsiTheme="minorHAnsi" w:cs="Arial"/>
          <w:sz w:val="22"/>
          <w:szCs w:val="22"/>
        </w:rPr>
      </w:pPr>
      <w:r w:rsidRPr="00C942D3">
        <w:rPr>
          <w:rFonts w:asciiTheme="minorHAnsi" w:hAnsiTheme="minorHAnsi" w:cs="Arial"/>
          <w:b/>
          <w:bCs/>
          <w:sz w:val="22"/>
          <w:szCs w:val="22"/>
        </w:rPr>
        <w:t xml:space="preserve">Fair </w:t>
      </w:r>
      <w:r w:rsidR="00C95D3A" w:rsidRPr="00C942D3">
        <w:rPr>
          <w:rFonts w:asciiTheme="minorHAnsi" w:hAnsiTheme="minorHAnsi" w:cs="Arial"/>
          <w:b/>
          <w:bCs/>
          <w:sz w:val="22"/>
          <w:szCs w:val="22"/>
        </w:rPr>
        <w:t xml:space="preserve">- </w:t>
      </w:r>
      <w:r w:rsidR="00B40A1A" w:rsidRPr="00C942D3">
        <w:rPr>
          <w:rFonts w:asciiTheme="minorHAnsi" w:hAnsiTheme="minorHAnsi" w:cs="Arial"/>
          <w:b/>
          <w:bCs/>
          <w:sz w:val="22"/>
          <w:szCs w:val="22"/>
        </w:rPr>
        <w:t>T</w:t>
      </w:r>
      <w:r w:rsidRPr="00C942D3">
        <w:rPr>
          <w:rFonts w:asciiTheme="minorHAnsi" w:hAnsiTheme="minorHAnsi" w:cs="Arial"/>
          <w:sz w:val="22"/>
          <w:szCs w:val="22"/>
        </w:rPr>
        <w:t>he ‘Gunning’ principles</w:t>
      </w:r>
      <w:r w:rsidR="00B40A1A" w:rsidRPr="00C942D3">
        <w:rPr>
          <w:rFonts w:asciiTheme="minorHAnsi" w:hAnsiTheme="minorHAnsi" w:cs="Arial"/>
          <w:sz w:val="22"/>
          <w:szCs w:val="22"/>
        </w:rPr>
        <w:t xml:space="preserve"> describe what is fair in relation to</w:t>
      </w:r>
      <w:r w:rsidRPr="00C942D3">
        <w:rPr>
          <w:rFonts w:asciiTheme="minorHAnsi" w:hAnsiTheme="minorHAnsi" w:cs="Arial"/>
          <w:sz w:val="22"/>
          <w:szCs w:val="22"/>
        </w:rPr>
        <w:t xml:space="preserve"> formal consultation</w:t>
      </w:r>
      <w:r w:rsidR="00B40A1A" w:rsidRPr="00C942D3">
        <w:rPr>
          <w:rFonts w:asciiTheme="minorHAnsi" w:hAnsiTheme="minorHAnsi" w:cs="Arial"/>
          <w:sz w:val="22"/>
          <w:szCs w:val="22"/>
        </w:rPr>
        <w:t>s</w:t>
      </w:r>
      <w:r w:rsidRPr="00C942D3">
        <w:rPr>
          <w:rFonts w:asciiTheme="minorHAnsi" w:hAnsiTheme="minorHAnsi" w:cs="Arial"/>
          <w:sz w:val="22"/>
          <w:szCs w:val="22"/>
        </w:rPr>
        <w:t xml:space="preserve"> </w:t>
      </w:r>
      <w:r w:rsidR="00B40A1A" w:rsidRPr="00C942D3">
        <w:rPr>
          <w:rFonts w:asciiTheme="minorHAnsi" w:hAnsiTheme="minorHAnsi" w:cs="Arial"/>
          <w:sz w:val="22"/>
          <w:szCs w:val="22"/>
        </w:rPr>
        <w:t>but are useful to consider for any engagement work</w:t>
      </w:r>
      <w:r w:rsidRPr="00C942D3">
        <w:rPr>
          <w:rFonts w:asciiTheme="minorHAnsi" w:hAnsiTheme="minorHAnsi" w:cs="Arial"/>
          <w:sz w:val="22"/>
          <w:szCs w:val="22"/>
        </w:rPr>
        <w:t xml:space="preserve"> </w:t>
      </w:r>
    </w:p>
    <w:p w:rsidR="00362C68" w:rsidRPr="00C942D3" w:rsidRDefault="00362C68" w:rsidP="00C942D3">
      <w:pPr>
        <w:pStyle w:val="Pa3"/>
        <w:numPr>
          <w:ilvl w:val="0"/>
          <w:numId w:val="8"/>
        </w:numPr>
        <w:spacing w:line="240" w:lineRule="auto"/>
        <w:rPr>
          <w:rFonts w:asciiTheme="minorHAnsi" w:hAnsiTheme="minorHAnsi" w:cs="Arial"/>
          <w:sz w:val="22"/>
          <w:szCs w:val="22"/>
        </w:rPr>
      </w:pPr>
      <w:r w:rsidRPr="00C942D3">
        <w:rPr>
          <w:rFonts w:asciiTheme="minorHAnsi" w:hAnsiTheme="minorHAnsi" w:cs="Arial"/>
          <w:b/>
          <w:bCs/>
          <w:sz w:val="22"/>
          <w:szCs w:val="22"/>
        </w:rPr>
        <w:t xml:space="preserve">Consultation must take place when the proposal is still at a formative stage </w:t>
      </w:r>
      <w:r w:rsidR="00C95D3A" w:rsidRPr="00C942D3">
        <w:rPr>
          <w:rFonts w:asciiTheme="minorHAnsi" w:hAnsiTheme="minorHAnsi" w:cs="Arial"/>
          <w:b/>
          <w:bCs/>
          <w:sz w:val="22"/>
          <w:szCs w:val="22"/>
        </w:rPr>
        <w:t xml:space="preserve">– not when a decision has already been made.   </w:t>
      </w:r>
      <w:r w:rsidRPr="00C942D3">
        <w:rPr>
          <w:rFonts w:asciiTheme="minorHAnsi" w:hAnsiTheme="minorHAnsi" w:cs="Arial"/>
          <w:sz w:val="22"/>
          <w:szCs w:val="22"/>
        </w:rPr>
        <w:t xml:space="preserve">Decision makers can consult on a single proposal or ‘preferred </w:t>
      </w:r>
      <w:r w:rsidR="00C95D3A" w:rsidRPr="00C942D3">
        <w:rPr>
          <w:rFonts w:asciiTheme="minorHAnsi" w:hAnsiTheme="minorHAnsi" w:cs="Arial"/>
          <w:sz w:val="22"/>
          <w:szCs w:val="22"/>
        </w:rPr>
        <w:t>option’; if</w:t>
      </w:r>
      <w:r w:rsidRPr="00C942D3">
        <w:rPr>
          <w:rFonts w:asciiTheme="minorHAnsi" w:hAnsiTheme="minorHAnsi" w:cs="Arial"/>
          <w:sz w:val="22"/>
          <w:szCs w:val="22"/>
        </w:rPr>
        <w:t xml:space="preserve"> they are genuinely open to influence. There is no requirement, and it would be misleading, to consult on adopting options which are not genuinely under consideration, or are unrealistic or unviable – but it may be necessary to provide some information about arguable alternatives. </w:t>
      </w:r>
    </w:p>
    <w:p w:rsidR="00C95D3A" w:rsidRPr="00C942D3" w:rsidRDefault="00362C68" w:rsidP="00C942D3">
      <w:pPr>
        <w:pStyle w:val="Pa3"/>
        <w:numPr>
          <w:ilvl w:val="0"/>
          <w:numId w:val="8"/>
        </w:numPr>
        <w:spacing w:line="240" w:lineRule="auto"/>
        <w:rPr>
          <w:rFonts w:asciiTheme="minorHAnsi" w:hAnsiTheme="minorHAnsi" w:cs="Arial"/>
          <w:sz w:val="22"/>
          <w:szCs w:val="22"/>
        </w:rPr>
      </w:pPr>
      <w:r w:rsidRPr="00C942D3">
        <w:rPr>
          <w:rFonts w:asciiTheme="minorHAnsi" w:hAnsiTheme="minorHAnsi" w:cs="Arial"/>
          <w:b/>
          <w:bCs/>
          <w:sz w:val="22"/>
          <w:szCs w:val="22"/>
        </w:rPr>
        <w:t xml:space="preserve">Sufficient information and reasons must be put forward for the proposal to allow for intelligent consideration and </w:t>
      </w:r>
      <w:proofErr w:type="gramStart"/>
      <w:r w:rsidRPr="00C942D3">
        <w:rPr>
          <w:rFonts w:asciiTheme="minorHAnsi" w:hAnsiTheme="minorHAnsi" w:cs="Arial"/>
          <w:b/>
          <w:bCs/>
          <w:sz w:val="22"/>
          <w:szCs w:val="22"/>
        </w:rPr>
        <w:t xml:space="preserve">response </w:t>
      </w:r>
      <w:r w:rsidR="00C95D3A" w:rsidRPr="00C942D3">
        <w:rPr>
          <w:rFonts w:asciiTheme="minorHAnsi" w:hAnsiTheme="minorHAnsi" w:cs="Arial"/>
          <w:b/>
          <w:bCs/>
          <w:sz w:val="22"/>
          <w:szCs w:val="22"/>
        </w:rPr>
        <w:t xml:space="preserve"> </w:t>
      </w:r>
      <w:r w:rsidRPr="00C942D3">
        <w:rPr>
          <w:rFonts w:asciiTheme="minorHAnsi" w:hAnsiTheme="minorHAnsi" w:cs="Arial"/>
          <w:sz w:val="22"/>
          <w:szCs w:val="22"/>
        </w:rPr>
        <w:t>Those</w:t>
      </w:r>
      <w:proofErr w:type="gramEnd"/>
      <w:r w:rsidRPr="00C942D3">
        <w:rPr>
          <w:rFonts w:asciiTheme="minorHAnsi" w:hAnsiTheme="minorHAnsi" w:cs="Arial"/>
          <w:sz w:val="22"/>
          <w:szCs w:val="22"/>
        </w:rPr>
        <w:t xml:space="preserve"> being consulted should be provided with sufficient information to enable them to understand what the proposal is, the reasons for it and why it is being considered. </w:t>
      </w:r>
      <w:r w:rsidR="00C95D3A" w:rsidRPr="00C942D3">
        <w:rPr>
          <w:rFonts w:asciiTheme="minorHAnsi" w:hAnsiTheme="minorHAnsi" w:cs="Arial"/>
          <w:sz w:val="22"/>
          <w:szCs w:val="22"/>
        </w:rPr>
        <w:t xml:space="preserve"> </w:t>
      </w:r>
    </w:p>
    <w:p w:rsidR="00362C68" w:rsidRPr="00C942D3" w:rsidRDefault="00362C68" w:rsidP="00C942D3">
      <w:pPr>
        <w:pStyle w:val="Pa3"/>
        <w:numPr>
          <w:ilvl w:val="0"/>
          <w:numId w:val="8"/>
        </w:numPr>
        <w:spacing w:line="240" w:lineRule="auto"/>
        <w:rPr>
          <w:rFonts w:asciiTheme="minorHAnsi" w:hAnsiTheme="minorHAnsi" w:cs="Arial"/>
          <w:sz w:val="22"/>
          <w:szCs w:val="22"/>
        </w:rPr>
      </w:pPr>
      <w:r w:rsidRPr="00C942D3">
        <w:rPr>
          <w:rFonts w:asciiTheme="minorHAnsi" w:hAnsiTheme="minorHAnsi" w:cs="Arial"/>
          <w:b/>
          <w:bCs/>
          <w:sz w:val="22"/>
          <w:szCs w:val="22"/>
        </w:rPr>
        <w:t xml:space="preserve">Adequate time must be given for consideration and response </w:t>
      </w:r>
      <w:proofErr w:type="gramStart"/>
      <w:r w:rsidR="00C95D3A" w:rsidRPr="00C942D3">
        <w:rPr>
          <w:rFonts w:asciiTheme="minorHAnsi" w:hAnsiTheme="minorHAnsi" w:cs="Arial"/>
          <w:sz w:val="22"/>
          <w:szCs w:val="22"/>
        </w:rPr>
        <w:t>T</w:t>
      </w:r>
      <w:r w:rsidRPr="00C942D3">
        <w:rPr>
          <w:rFonts w:asciiTheme="minorHAnsi" w:hAnsiTheme="minorHAnsi" w:cs="Arial"/>
          <w:sz w:val="22"/>
          <w:szCs w:val="22"/>
        </w:rPr>
        <w:t>here</w:t>
      </w:r>
      <w:proofErr w:type="gramEnd"/>
      <w:r w:rsidRPr="00C942D3">
        <w:rPr>
          <w:rFonts w:asciiTheme="minorHAnsi" w:hAnsiTheme="minorHAnsi" w:cs="Arial"/>
          <w:sz w:val="22"/>
          <w:szCs w:val="22"/>
        </w:rPr>
        <w:t xml:space="preserve"> is no automatically required timeframe within which the consultation must take place. </w:t>
      </w:r>
    </w:p>
    <w:p w:rsidR="00362C68" w:rsidRPr="00C942D3" w:rsidRDefault="00362C68" w:rsidP="00C942D3">
      <w:pPr>
        <w:pStyle w:val="Pa3"/>
        <w:numPr>
          <w:ilvl w:val="0"/>
          <w:numId w:val="8"/>
        </w:numPr>
        <w:spacing w:line="240" w:lineRule="auto"/>
        <w:rPr>
          <w:rFonts w:asciiTheme="minorHAnsi" w:hAnsiTheme="minorHAnsi" w:cs="Arial"/>
          <w:sz w:val="22"/>
          <w:szCs w:val="22"/>
        </w:rPr>
      </w:pPr>
      <w:r w:rsidRPr="00C942D3">
        <w:rPr>
          <w:rFonts w:asciiTheme="minorHAnsi" w:hAnsiTheme="minorHAnsi" w:cs="Arial"/>
          <w:b/>
          <w:bCs/>
          <w:sz w:val="22"/>
          <w:szCs w:val="22"/>
        </w:rPr>
        <w:t xml:space="preserve">The product of consultation must be conscientiously taken into account </w:t>
      </w:r>
    </w:p>
    <w:p w:rsidR="00362C68" w:rsidRPr="00C942D3" w:rsidRDefault="00362C68" w:rsidP="00C942D3">
      <w:pPr>
        <w:spacing w:after="0" w:line="240" w:lineRule="auto"/>
        <w:rPr>
          <w:rFonts w:cs="Arial"/>
        </w:rPr>
      </w:pPr>
    </w:p>
    <w:p w:rsidR="00362C68" w:rsidRPr="00C942D3" w:rsidRDefault="00362C68" w:rsidP="00C942D3">
      <w:pPr>
        <w:pStyle w:val="Pa3"/>
        <w:spacing w:line="240" w:lineRule="auto"/>
        <w:ind w:firstLine="720"/>
        <w:rPr>
          <w:rFonts w:asciiTheme="minorHAnsi" w:hAnsiTheme="minorHAnsi" w:cs="Arial"/>
          <w:sz w:val="22"/>
          <w:szCs w:val="22"/>
        </w:rPr>
      </w:pPr>
      <w:r w:rsidRPr="00C942D3">
        <w:rPr>
          <w:rFonts w:asciiTheme="minorHAnsi" w:hAnsiTheme="minorHAnsi" w:cs="Arial"/>
          <w:b/>
          <w:bCs/>
          <w:sz w:val="22"/>
          <w:szCs w:val="22"/>
        </w:rPr>
        <w:t xml:space="preserve">Proportionate </w:t>
      </w:r>
    </w:p>
    <w:p w:rsidR="00362C68" w:rsidRPr="00C942D3" w:rsidRDefault="00362C68" w:rsidP="00C942D3">
      <w:pPr>
        <w:pStyle w:val="Pa3"/>
        <w:spacing w:line="240" w:lineRule="auto"/>
        <w:ind w:left="720"/>
        <w:rPr>
          <w:rFonts w:asciiTheme="minorHAnsi" w:hAnsiTheme="minorHAnsi" w:cs="Arial"/>
          <w:sz w:val="22"/>
          <w:szCs w:val="22"/>
        </w:rPr>
      </w:pPr>
      <w:r w:rsidRPr="00C942D3">
        <w:rPr>
          <w:rFonts w:asciiTheme="minorHAnsi" w:hAnsiTheme="minorHAnsi" w:cs="Arial"/>
          <w:sz w:val="22"/>
          <w:szCs w:val="22"/>
        </w:rPr>
        <w:t xml:space="preserve">As a general rule, the greater the extent of changes and number of people affected, the greater the level of </w:t>
      </w:r>
      <w:r w:rsidR="00C95D3A" w:rsidRPr="00C942D3">
        <w:rPr>
          <w:rFonts w:asciiTheme="minorHAnsi" w:hAnsiTheme="minorHAnsi" w:cs="Arial"/>
          <w:sz w:val="22"/>
          <w:szCs w:val="22"/>
        </w:rPr>
        <w:t>engagement</w:t>
      </w:r>
      <w:r w:rsidRPr="00C942D3">
        <w:rPr>
          <w:rFonts w:asciiTheme="minorHAnsi" w:hAnsiTheme="minorHAnsi" w:cs="Arial"/>
          <w:sz w:val="22"/>
          <w:szCs w:val="22"/>
        </w:rPr>
        <w:t xml:space="preserve">. </w:t>
      </w:r>
    </w:p>
    <w:p w:rsidR="00362C68" w:rsidRPr="00C942D3" w:rsidRDefault="00362C68" w:rsidP="00C942D3">
      <w:pPr>
        <w:pStyle w:val="Pa3"/>
        <w:spacing w:line="240" w:lineRule="auto"/>
        <w:ind w:left="720"/>
        <w:rPr>
          <w:rFonts w:asciiTheme="minorHAnsi" w:hAnsiTheme="minorHAnsi" w:cs="Arial"/>
          <w:sz w:val="22"/>
          <w:szCs w:val="22"/>
        </w:rPr>
      </w:pPr>
      <w:r w:rsidRPr="00C942D3">
        <w:rPr>
          <w:rFonts w:asciiTheme="minorHAnsi" w:hAnsiTheme="minorHAnsi" w:cs="Arial"/>
          <w:sz w:val="22"/>
          <w:szCs w:val="22"/>
        </w:rPr>
        <w:t xml:space="preserve">Staff should also consider the potential impact on other services which they may not commission, and issues for patients beyond the clinical services themselves, such as accessibility, transport links and ambulance availability. </w:t>
      </w:r>
    </w:p>
    <w:p w:rsidR="00C95D3A" w:rsidRPr="00C942D3" w:rsidRDefault="00C95D3A" w:rsidP="00C942D3">
      <w:pPr>
        <w:pStyle w:val="Pa3"/>
        <w:spacing w:line="240" w:lineRule="auto"/>
        <w:rPr>
          <w:rFonts w:asciiTheme="minorHAnsi" w:hAnsiTheme="minorHAnsi" w:cs="Arial"/>
          <w:sz w:val="22"/>
          <w:szCs w:val="22"/>
        </w:rPr>
      </w:pPr>
    </w:p>
    <w:p w:rsidR="00362C68" w:rsidRPr="00C942D3" w:rsidRDefault="00362C68" w:rsidP="00C942D3">
      <w:pPr>
        <w:spacing w:after="0" w:line="240" w:lineRule="auto"/>
        <w:rPr>
          <w:rFonts w:cs="Arial"/>
        </w:rPr>
      </w:pPr>
    </w:p>
    <w:p w:rsidR="00362C68" w:rsidRPr="00C942D3" w:rsidRDefault="00C95D3A" w:rsidP="00C942D3">
      <w:pPr>
        <w:pStyle w:val="Pa3"/>
        <w:spacing w:line="240" w:lineRule="auto"/>
        <w:rPr>
          <w:rFonts w:asciiTheme="minorHAnsi" w:hAnsiTheme="minorHAnsi" w:cs="Arial"/>
          <w:sz w:val="22"/>
          <w:szCs w:val="22"/>
        </w:rPr>
      </w:pPr>
      <w:r w:rsidRPr="00C942D3">
        <w:rPr>
          <w:rFonts w:asciiTheme="minorHAnsi" w:hAnsiTheme="minorHAnsi" w:cs="Arial"/>
          <w:b/>
          <w:bCs/>
          <w:sz w:val="22"/>
          <w:szCs w:val="22"/>
        </w:rPr>
        <w:t xml:space="preserve">5 </w:t>
      </w:r>
      <w:r w:rsidRPr="00C942D3">
        <w:rPr>
          <w:rFonts w:asciiTheme="minorHAnsi" w:hAnsiTheme="minorHAnsi" w:cs="Arial"/>
          <w:b/>
          <w:bCs/>
          <w:sz w:val="22"/>
          <w:szCs w:val="22"/>
        </w:rPr>
        <w:tab/>
        <w:t xml:space="preserve">Think about HOW </w:t>
      </w:r>
      <w:r w:rsidR="00362C68" w:rsidRPr="00C942D3">
        <w:rPr>
          <w:rFonts w:asciiTheme="minorHAnsi" w:hAnsiTheme="minorHAnsi" w:cs="Arial"/>
          <w:b/>
          <w:bCs/>
          <w:sz w:val="22"/>
          <w:szCs w:val="22"/>
        </w:rPr>
        <w:t xml:space="preserve">to involve patients and the public </w:t>
      </w:r>
    </w:p>
    <w:p w:rsidR="00362C68" w:rsidRPr="00C942D3" w:rsidRDefault="00362C68" w:rsidP="00C942D3">
      <w:pPr>
        <w:pStyle w:val="Pa3"/>
        <w:numPr>
          <w:ilvl w:val="0"/>
          <w:numId w:val="9"/>
        </w:numPr>
        <w:spacing w:line="240" w:lineRule="auto"/>
        <w:rPr>
          <w:rFonts w:asciiTheme="minorHAnsi" w:hAnsiTheme="minorHAnsi" w:cs="Arial"/>
          <w:sz w:val="22"/>
          <w:szCs w:val="22"/>
        </w:rPr>
      </w:pPr>
      <w:r w:rsidRPr="00C942D3">
        <w:rPr>
          <w:rFonts w:asciiTheme="minorHAnsi" w:hAnsiTheme="minorHAnsi" w:cs="Arial"/>
          <w:sz w:val="22"/>
          <w:szCs w:val="22"/>
        </w:rPr>
        <w:t xml:space="preserve">Through their elected representatives (MPs and councillors). </w:t>
      </w:r>
    </w:p>
    <w:p w:rsidR="00362C68" w:rsidRPr="00C942D3" w:rsidRDefault="00362C68" w:rsidP="00C942D3">
      <w:pPr>
        <w:pStyle w:val="Pa3"/>
        <w:numPr>
          <w:ilvl w:val="0"/>
          <w:numId w:val="9"/>
        </w:numPr>
        <w:spacing w:line="240" w:lineRule="auto"/>
        <w:rPr>
          <w:rFonts w:asciiTheme="minorHAnsi" w:hAnsiTheme="minorHAnsi" w:cs="Arial"/>
          <w:sz w:val="22"/>
          <w:szCs w:val="22"/>
        </w:rPr>
      </w:pPr>
      <w:r w:rsidRPr="00C942D3">
        <w:rPr>
          <w:rFonts w:asciiTheme="minorHAnsi" w:hAnsiTheme="minorHAnsi" w:cs="Arial"/>
          <w:sz w:val="22"/>
          <w:szCs w:val="22"/>
        </w:rPr>
        <w:t xml:space="preserve">Letters or emails to affected individuals. </w:t>
      </w:r>
    </w:p>
    <w:p w:rsidR="00362C68" w:rsidRPr="00C942D3" w:rsidRDefault="00C942D3" w:rsidP="00C942D3">
      <w:pPr>
        <w:pStyle w:val="Pa3"/>
        <w:numPr>
          <w:ilvl w:val="0"/>
          <w:numId w:val="9"/>
        </w:numPr>
        <w:spacing w:line="240" w:lineRule="auto"/>
        <w:rPr>
          <w:rFonts w:asciiTheme="minorHAnsi" w:hAnsiTheme="minorHAnsi" w:cs="Arial"/>
          <w:sz w:val="22"/>
          <w:szCs w:val="22"/>
        </w:rPr>
      </w:pPr>
      <w:r>
        <w:rPr>
          <w:rFonts w:asciiTheme="minorHAnsi" w:hAnsiTheme="minorHAnsi" w:cs="Arial"/>
          <w:sz w:val="22"/>
          <w:szCs w:val="22"/>
        </w:rPr>
        <w:t xml:space="preserve">Newsletters, or leaflets drops – specific or community </w:t>
      </w:r>
      <w:r w:rsidR="00362C68" w:rsidRPr="00C942D3">
        <w:rPr>
          <w:rFonts w:asciiTheme="minorHAnsi" w:hAnsiTheme="minorHAnsi" w:cs="Arial"/>
          <w:sz w:val="22"/>
          <w:szCs w:val="22"/>
        </w:rPr>
        <w:t xml:space="preserve"> </w:t>
      </w:r>
      <w:r>
        <w:rPr>
          <w:rFonts w:asciiTheme="minorHAnsi" w:hAnsiTheme="minorHAnsi" w:cs="Arial"/>
          <w:sz w:val="22"/>
          <w:szCs w:val="22"/>
        </w:rPr>
        <w:t>newsletter</w:t>
      </w:r>
    </w:p>
    <w:p w:rsidR="00362C68" w:rsidRPr="00C942D3" w:rsidRDefault="00362C68" w:rsidP="00C942D3">
      <w:pPr>
        <w:pStyle w:val="Pa3"/>
        <w:numPr>
          <w:ilvl w:val="0"/>
          <w:numId w:val="9"/>
        </w:numPr>
        <w:spacing w:line="240" w:lineRule="auto"/>
        <w:rPr>
          <w:rFonts w:asciiTheme="minorHAnsi" w:hAnsiTheme="minorHAnsi" w:cs="Arial"/>
          <w:sz w:val="22"/>
          <w:szCs w:val="22"/>
        </w:rPr>
      </w:pPr>
      <w:r w:rsidRPr="00C942D3">
        <w:rPr>
          <w:rFonts w:asciiTheme="minorHAnsi" w:hAnsiTheme="minorHAnsi" w:cs="Arial"/>
          <w:sz w:val="22"/>
          <w:szCs w:val="22"/>
        </w:rPr>
        <w:t xml:space="preserve">Information on notice boards in local community facilities such as GP surgeries, libraries, </w:t>
      </w:r>
      <w:proofErr w:type="spellStart"/>
      <w:r w:rsidR="00C942D3">
        <w:rPr>
          <w:rFonts w:asciiTheme="minorHAnsi" w:hAnsiTheme="minorHAnsi" w:cs="Arial"/>
          <w:sz w:val="22"/>
          <w:szCs w:val="22"/>
        </w:rPr>
        <w:t>etc</w:t>
      </w:r>
      <w:proofErr w:type="spellEnd"/>
    </w:p>
    <w:p w:rsidR="00362C68" w:rsidRPr="00C942D3" w:rsidRDefault="00362C68" w:rsidP="00C942D3">
      <w:pPr>
        <w:pStyle w:val="Pa3"/>
        <w:numPr>
          <w:ilvl w:val="0"/>
          <w:numId w:val="9"/>
        </w:numPr>
        <w:spacing w:line="240" w:lineRule="auto"/>
        <w:rPr>
          <w:rFonts w:asciiTheme="minorHAnsi" w:hAnsiTheme="minorHAnsi" w:cs="Arial"/>
          <w:sz w:val="22"/>
          <w:szCs w:val="22"/>
        </w:rPr>
      </w:pPr>
      <w:r w:rsidRPr="00C942D3">
        <w:rPr>
          <w:rFonts w:asciiTheme="minorHAnsi" w:hAnsiTheme="minorHAnsi" w:cs="Arial"/>
          <w:sz w:val="22"/>
          <w:szCs w:val="22"/>
        </w:rPr>
        <w:t xml:space="preserve">Suggestion boxes. </w:t>
      </w:r>
    </w:p>
    <w:p w:rsidR="00362C68" w:rsidRPr="00C942D3" w:rsidRDefault="00C942D3" w:rsidP="00C942D3">
      <w:pPr>
        <w:pStyle w:val="Pa3"/>
        <w:numPr>
          <w:ilvl w:val="0"/>
          <w:numId w:val="9"/>
        </w:numPr>
        <w:spacing w:line="240" w:lineRule="auto"/>
        <w:rPr>
          <w:rFonts w:asciiTheme="minorHAnsi" w:hAnsiTheme="minorHAnsi" w:cs="Arial"/>
          <w:sz w:val="22"/>
          <w:szCs w:val="22"/>
        </w:rPr>
      </w:pPr>
      <w:r>
        <w:rPr>
          <w:rFonts w:asciiTheme="minorHAnsi" w:hAnsiTheme="minorHAnsi" w:cs="Arial"/>
          <w:sz w:val="22"/>
          <w:szCs w:val="22"/>
        </w:rPr>
        <w:t>Street consultation with b</w:t>
      </w:r>
      <w:r w:rsidR="00362C68" w:rsidRPr="00C942D3">
        <w:rPr>
          <w:rFonts w:asciiTheme="minorHAnsi" w:hAnsiTheme="minorHAnsi" w:cs="Arial"/>
          <w:sz w:val="22"/>
          <w:szCs w:val="22"/>
        </w:rPr>
        <w:t xml:space="preserve">oards for people to write their thoughts </w:t>
      </w:r>
    </w:p>
    <w:p w:rsidR="00C942D3" w:rsidRDefault="00C942D3" w:rsidP="00C942D3">
      <w:pPr>
        <w:pStyle w:val="Pa3"/>
        <w:numPr>
          <w:ilvl w:val="0"/>
          <w:numId w:val="9"/>
        </w:numPr>
        <w:spacing w:line="240" w:lineRule="auto"/>
        <w:rPr>
          <w:rFonts w:asciiTheme="minorHAnsi" w:hAnsiTheme="minorHAnsi" w:cs="Arial"/>
          <w:sz w:val="22"/>
          <w:szCs w:val="22"/>
        </w:rPr>
      </w:pPr>
      <w:r w:rsidRPr="00C942D3">
        <w:rPr>
          <w:rFonts w:asciiTheme="minorHAnsi" w:hAnsiTheme="minorHAnsi" w:cs="Arial"/>
          <w:sz w:val="22"/>
          <w:szCs w:val="22"/>
        </w:rPr>
        <w:t xml:space="preserve">Dedicated events or </w:t>
      </w:r>
      <w:r>
        <w:rPr>
          <w:rFonts w:asciiTheme="minorHAnsi" w:hAnsiTheme="minorHAnsi" w:cs="Arial"/>
          <w:sz w:val="22"/>
          <w:szCs w:val="22"/>
        </w:rPr>
        <w:t>f</w:t>
      </w:r>
      <w:r w:rsidR="00362C68" w:rsidRPr="00C942D3">
        <w:rPr>
          <w:rFonts w:asciiTheme="minorHAnsi" w:hAnsiTheme="minorHAnsi" w:cs="Arial"/>
          <w:sz w:val="22"/>
          <w:szCs w:val="22"/>
        </w:rPr>
        <w:t xml:space="preserve">ocus groups </w:t>
      </w:r>
    </w:p>
    <w:p w:rsidR="00C942D3" w:rsidRPr="00C942D3" w:rsidRDefault="00C942D3" w:rsidP="00C942D3">
      <w:pPr>
        <w:pStyle w:val="Pa3"/>
        <w:numPr>
          <w:ilvl w:val="0"/>
          <w:numId w:val="9"/>
        </w:numPr>
        <w:spacing w:line="240" w:lineRule="auto"/>
        <w:rPr>
          <w:rFonts w:asciiTheme="minorHAnsi" w:hAnsiTheme="minorHAnsi" w:cs="Arial"/>
          <w:sz w:val="22"/>
          <w:szCs w:val="22"/>
        </w:rPr>
      </w:pPr>
      <w:r>
        <w:rPr>
          <w:rFonts w:asciiTheme="minorHAnsi" w:hAnsiTheme="minorHAnsi" w:cs="Arial"/>
          <w:sz w:val="22"/>
          <w:szCs w:val="22"/>
        </w:rPr>
        <w:t>F</w:t>
      </w:r>
      <w:r w:rsidRPr="00C942D3">
        <w:rPr>
          <w:rFonts w:asciiTheme="minorHAnsi" w:hAnsiTheme="minorHAnsi" w:cs="Arial"/>
          <w:sz w:val="22"/>
          <w:szCs w:val="22"/>
        </w:rPr>
        <w:t xml:space="preserve">ormal public consultations. </w:t>
      </w:r>
    </w:p>
    <w:p w:rsidR="00362C68" w:rsidRDefault="00C942D3" w:rsidP="00C942D3">
      <w:pPr>
        <w:pStyle w:val="Pa3"/>
        <w:numPr>
          <w:ilvl w:val="0"/>
          <w:numId w:val="9"/>
        </w:numPr>
        <w:spacing w:line="240" w:lineRule="auto"/>
        <w:ind w:right="380"/>
        <w:rPr>
          <w:rFonts w:asciiTheme="minorHAnsi" w:hAnsiTheme="minorHAnsi" w:cs="Arial"/>
          <w:sz w:val="22"/>
          <w:szCs w:val="22"/>
        </w:rPr>
      </w:pPr>
      <w:r>
        <w:rPr>
          <w:rFonts w:asciiTheme="minorHAnsi" w:hAnsiTheme="minorHAnsi" w:cs="Arial"/>
          <w:sz w:val="22"/>
          <w:szCs w:val="22"/>
        </w:rPr>
        <w:t>I</w:t>
      </w:r>
      <w:r w:rsidR="00362C68" w:rsidRPr="00C942D3">
        <w:rPr>
          <w:rFonts w:asciiTheme="minorHAnsi" w:hAnsiTheme="minorHAnsi" w:cs="Arial"/>
          <w:sz w:val="22"/>
          <w:szCs w:val="22"/>
        </w:rPr>
        <w:t xml:space="preserve">nterviews - telephone interviews are particularly useful for people who may find travel difficult </w:t>
      </w:r>
    </w:p>
    <w:p w:rsidR="00362C68" w:rsidRPr="00C942D3" w:rsidRDefault="00362C68" w:rsidP="00C942D3">
      <w:pPr>
        <w:pStyle w:val="Pa3"/>
        <w:numPr>
          <w:ilvl w:val="0"/>
          <w:numId w:val="9"/>
        </w:numPr>
        <w:spacing w:line="240" w:lineRule="auto"/>
        <w:rPr>
          <w:rFonts w:asciiTheme="minorHAnsi" w:hAnsiTheme="minorHAnsi" w:cs="Arial"/>
          <w:sz w:val="22"/>
          <w:szCs w:val="22"/>
        </w:rPr>
      </w:pPr>
      <w:r w:rsidRPr="00C942D3">
        <w:rPr>
          <w:rFonts w:asciiTheme="minorHAnsi" w:hAnsiTheme="minorHAnsi" w:cs="Arial"/>
          <w:sz w:val="22"/>
          <w:szCs w:val="22"/>
        </w:rPr>
        <w:t xml:space="preserve">Surveys and feedback forms. </w:t>
      </w:r>
    </w:p>
    <w:p w:rsidR="00C942D3" w:rsidRDefault="00C942D3" w:rsidP="00C942D3">
      <w:pPr>
        <w:pStyle w:val="Pa3"/>
        <w:numPr>
          <w:ilvl w:val="0"/>
          <w:numId w:val="9"/>
        </w:numPr>
        <w:spacing w:line="240" w:lineRule="auto"/>
        <w:rPr>
          <w:rFonts w:asciiTheme="minorHAnsi" w:hAnsiTheme="minorHAnsi" w:cs="Arial"/>
          <w:sz w:val="22"/>
          <w:szCs w:val="22"/>
        </w:rPr>
      </w:pPr>
      <w:r w:rsidRPr="00C942D3">
        <w:rPr>
          <w:rFonts w:asciiTheme="minorHAnsi" w:hAnsiTheme="minorHAnsi" w:cs="Arial"/>
          <w:sz w:val="22"/>
          <w:szCs w:val="22"/>
        </w:rPr>
        <w:t>L</w:t>
      </w:r>
      <w:r w:rsidR="00362C68" w:rsidRPr="00C942D3">
        <w:rPr>
          <w:rFonts w:asciiTheme="minorHAnsi" w:hAnsiTheme="minorHAnsi" w:cs="Arial"/>
          <w:sz w:val="22"/>
          <w:szCs w:val="22"/>
        </w:rPr>
        <w:t xml:space="preserve">ocal events or venues such as faith centres, community celebrations, festivals, markets, schools, </w:t>
      </w:r>
      <w:proofErr w:type="spellStart"/>
      <w:r>
        <w:rPr>
          <w:rFonts w:asciiTheme="minorHAnsi" w:hAnsiTheme="minorHAnsi" w:cs="Arial"/>
          <w:sz w:val="22"/>
          <w:szCs w:val="22"/>
        </w:rPr>
        <w:t>etc</w:t>
      </w:r>
      <w:proofErr w:type="spellEnd"/>
    </w:p>
    <w:p w:rsidR="00362C68" w:rsidRPr="00C942D3" w:rsidRDefault="00362C68" w:rsidP="00C942D3">
      <w:pPr>
        <w:pStyle w:val="Pa3"/>
        <w:numPr>
          <w:ilvl w:val="0"/>
          <w:numId w:val="9"/>
        </w:numPr>
        <w:spacing w:line="240" w:lineRule="auto"/>
        <w:rPr>
          <w:rFonts w:asciiTheme="minorHAnsi" w:hAnsiTheme="minorHAnsi" w:cs="Arial"/>
          <w:sz w:val="22"/>
          <w:szCs w:val="22"/>
        </w:rPr>
      </w:pPr>
      <w:r w:rsidRPr="00C942D3">
        <w:rPr>
          <w:rFonts w:asciiTheme="minorHAnsi" w:hAnsiTheme="minorHAnsi" w:cs="Arial"/>
          <w:sz w:val="22"/>
          <w:szCs w:val="22"/>
        </w:rPr>
        <w:t xml:space="preserve">Work with local VCSE organisations, local Healthwatch and the PPG at GP practices. </w:t>
      </w:r>
    </w:p>
    <w:p w:rsidR="00362C68" w:rsidRPr="00C942D3" w:rsidRDefault="00362C68" w:rsidP="00C942D3">
      <w:pPr>
        <w:pStyle w:val="Pa3"/>
        <w:numPr>
          <w:ilvl w:val="0"/>
          <w:numId w:val="9"/>
        </w:numPr>
        <w:spacing w:line="240" w:lineRule="auto"/>
        <w:rPr>
          <w:rFonts w:asciiTheme="minorHAnsi" w:hAnsiTheme="minorHAnsi" w:cs="Arial"/>
          <w:sz w:val="22"/>
          <w:szCs w:val="22"/>
        </w:rPr>
      </w:pPr>
      <w:r w:rsidRPr="00C942D3">
        <w:rPr>
          <w:rFonts w:asciiTheme="minorHAnsi" w:hAnsiTheme="minorHAnsi" w:cs="Arial"/>
          <w:sz w:val="22"/>
          <w:szCs w:val="22"/>
        </w:rPr>
        <w:t>Provide opportunitie</w:t>
      </w:r>
      <w:r w:rsidR="00C942D3">
        <w:rPr>
          <w:rFonts w:asciiTheme="minorHAnsi" w:hAnsiTheme="minorHAnsi" w:cs="Arial"/>
          <w:sz w:val="22"/>
          <w:szCs w:val="22"/>
        </w:rPr>
        <w:t>s for the public to meet staff, different times and venues</w:t>
      </w:r>
      <w:r w:rsidRPr="00C942D3">
        <w:rPr>
          <w:rFonts w:asciiTheme="minorHAnsi" w:hAnsiTheme="minorHAnsi" w:cs="Arial"/>
          <w:sz w:val="22"/>
          <w:szCs w:val="22"/>
        </w:rPr>
        <w:t xml:space="preserve"> </w:t>
      </w:r>
    </w:p>
    <w:p w:rsidR="00362C68" w:rsidRPr="00C942D3" w:rsidRDefault="00362C68" w:rsidP="00C942D3">
      <w:pPr>
        <w:pStyle w:val="Pa3"/>
        <w:numPr>
          <w:ilvl w:val="0"/>
          <w:numId w:val="9"/>
        </w:numPr>
        <w:spacing w:line="240" w:lineRule="auto"/>
        <w:rPr>
          <w:rFonts w:asciiTheme="minorHAnsi" w:hAnsiTheme="minorHAnsi" w:cs="Arial"/>
          <w:sz w:val="22"/>
          <w:szCs w:val="22"/>
        </w:rPr>
      </w:pPr>
      <w:r w:rsidRPr="00C942D3">
        <w:rPr>
          <w:rFonts w:asciiTheme="minorHAnsi" w:hAnsiTheme="minorHAnsi" w:cs="Arial"/>
          <w:sz w:val="22"/>
          <w:szCs w:val="22"/>
        </w:rPr>
        <w:t xml:space="preserve">Social media, for example Twitter, Facebook. </w:t>
      </w:r>
    </w:p>
    <w:p w:rsidR="00362C68" w:rsidRPr="00C942D3" w:rsidRDefault="00362C68" w:rsidP="00C942D3">
      <w:pPr>
        <w:pStyle w:val="Pa3"/>
        <w:numPr>
          <w:ilvl w:val="0"/>
          <w:numId w:val="9"/>
        </w:numPr>
        <w:spacing w:line="240" w:lineRule="auto"/>
        <w:rPr>
          <w:rFonts w:asciiTheme="minorHAnsi" w:hAnsiTheme="minorHAnsi" w:cs="Arial"/>
          <w:sz w:val="22"/>
          <w:szCs w:val="22"/>
        </w:rPr>
      </w:pPr>
      <w:r w:rsidRPr="00C942D3">
        <w:rPr>
          <w:rFonts w:asciiTheme="minorHAnsi" w:hAnsiTheme="minorHAnsi" w:cs="Arial"/>
          <w:sz w:val="22"/>
          <w:szCs w:val="22"/>
        </w:rPr>
        <w:t xml:space="preserve">Public and patient advisory or reference groups. </w:t>
      </w:r>
    </w:p>
    <w:p w:rsidR="00362C68" w:rsidRPr="00C942D3" w:rsidRDefault="00362C68" w:rsidP="00C942D3">
      <w:pPr>
        <w:pStyle w:val="Pa3"/>
        <w:numPr>
          <w:ilvl w:val="0"/>
          <w:numId w:val="9"/>
        </w:numPr>
        <w:spacing w:line="240" w:lineRule="auto"/>
        <w:rPr>
          <w:rFonts w:asciiTheme="minorHAnsi" w:hAnsiTheme="minorHAnsi" w:cs="Arial"/>
          <w:sz w:val="22"/>
          <w:szCs w:val="22"/>
        </w:rPr>
      </w:pPr>
      <w:r w:rsidRPr="00C942D3">
        <w:rPr>
          <w:rFonts w:asciiTheme="minorHAnsi" w:hAnsiTheme="minorHAnsi" w:cs="Arial"/>
          <w:sz w:val="22"/>
          <w:szCs w:val="22"/>
        </w:rPr>
        <w:t xml:space="preserve">Patient and public representatives who provide regular input to committees/groups/boards. </w:t>
      </w:r>
    </w:p>
    <w:p w:rsidR="00362C68" w:rsidRPr="00C942D3" w:rsidRDefault="00362C68" w:rsidP="00C942D3">
      <w:pPr>
        <w:pStyle w:val="ListParagraph"/>
        <w:numPr>
          <w:ilvl w:val="0"/>
          <w:numId w:val="9"/>
        </w:numPr>
        <w:spacing w:after="0" w:line="240" w:lineRule="auto"/>
        <w:rPr>
          <w:rFonts w:cs="Arial"/>
          <w:color w:val="000000"/>
        </w:rPr>
      </w:pPr>
      <w:r w:rsidRPr="00C942D3">
        <w:rPr>
          <w:rStyle w:val="A6"/>
          <w:rFonts w:cs="Arial"/>
          <w:u w:val="none"/>
        </w:rPr>
        <w:t xml:space="preserve">Co-production </w:t>
      </w:r>
      <w:r w:rsidRPr="00C942D3">
        <w:rPr>
          <w:rFonts w:cs="Arial"/>
        </w:rPr>
        <w:t xml:space="preserve">with experts by experience. </w:t>
      </w:r>
    </w:p>
    <w:p w:rsidR="00362C68" w:rsidRPr="00C942D3" w:rsidRDefault="00362C68" w:rsidP="00C942D3">
      <w:pPr>
        <w:spacing w:after="0" w:line="240" w:lineRule="auto"/>
      </w:pPr>
    </w:p>
    <w:p w:rsidR="00C95D3A" w:rsidRPr="00C942D3" w:rsidRDefault="00C95D3A" w:rsidP="00C942D3">
      <w:pPr>
        <w:spacing w:after="0" w:line="240" w:lineRule="auto"/>
      </w:pPr>
      <w:r w:rsidRPr="00C942D3">
        <w:t xml:space="preserve">6 </w:t>
      </w:r>
      <w:r w:rsidRPr="00C942D3">
        <w:tab/>
      </w:r>
      <w:r w:rsidRPr="00C942D3">
        <w:rPr>
          <w:b/>
        </w:rPr>
        <w:t>Consider when to involve people- develop a plan</w:t>
      </w:r>
    </w:p>
    <w:p w:rsidR="00362C68" w:rsidRPr="00C942D3" w:rsidRDefault="00C95D3A" w:rsidP="00C942D3">
      <w:pPr>
        <w:pStyle w:val="Default"/>
        <w:rPr>
          <w:rFonts w:asciiTheme="minorHAnsi" w:hAnsiTheme="minorHAnsi" w:cs="Arial"/>
          <w:sz w:val="22"/>
          <w:szCs w:val="22"/>
        </w:rPr>
      </w:pPr>
      <w:r w:rsidRPr="00C942D3">
        <w:rPr>
          <w:rFonts w:asciiTheme="minorHAnsi" w:hAnsiTheme="minorHAnsi" w:cs="Arial"/>
          <w:sz w:val="22"/>
          <w:szCs w:val="22"/>
        </w:rPr>
        <w:t xml:space="preserve">This will depend on the issues, the aim should be to involve/consult at the earliest stage possible. So this could be around </w:t>
      </w:r>
      <w:r w:rsidR="00362C68" w:rsidRPr="00C942D3">
        <w:rPr>
          <w:rFonts w:asciiTheme="minorHAnsi" w:hAnsiTheme="minorHAnsi" w:cs="Arial"/>
          <w:sz w:val="22"/>
          <w:szCs w:val="22"/>
        </w:rPr>
        <w:t>develop</w:t>
      </w:r>
      <w:r w:rsidRPr="00C942D3">
        <w:rPr>
          <w:rFonts w:asciiTheme="minorHAnsi" w:hAnsiTheme="minorHAnsi" w:cs="Arial"/>
          <w:sz w:val="22"/>
          <w:szCs w:val="22"/>
        </w:rPr>
        <w:t>ing</w:t>
      </w:r>
      <w:r w:rsidR="00362C68" w:rsidRPr="00C942D3">
        <w:rPr>
          <w:rFonts w:asciiTheme="minorHAnsi" w:hAnsiTheme="minorHAnsi" w:cs="Arial"/>
          <w:sz w:val="22"/>
          <w:szCs w:val="22"/>
        </w:rPr>
        <w:t xml:space="preserve"> a proposal, a shortlist of options or a preferred option. </w:t>
      </w:r>
      <w:r w:rsidRPr="00C942D3">
        <w:rPr>
          <w:rFonts w:asciiTheme="minorHAnsi" w:hAnsiTheme="minorHAnsi" w:cs="Arial"/>
          <w:sz w:val="22"/>
          <w:szCs w:val="22"/>
        </w:rPr>
        <w:t xml:space="preserve">It </w:t>
      </w:r>
      <w:r w:rsidR="00362C68" w:rsidRPr="00C942D3">
        <w:rPr>
          <w:rFonts w:asciiTheme="minorHAnsi" w:hAnsiTheme="minorHAnsi" w:cs="Arial"/>
          <w:sz w:val="22"/>
          <w:szCs w:val="22"/>
        </w:rPr>
        <w:t>should never be left to a time when the views obtained could not make a meaningful differen</w:t>
      </w:r>
      <w:r w:rsidRPr="00C942D3">
        <w:rPr>
          <w:rFonts w:asciiTheme="minorHAnsi" w:hAnsiTheme="minorHAnsi" w:cs="Arial"/>
          <w:sz w:val="22"/>
          <w:szCs w:val="22"/>
        </w:rPr>
        <w:t xml:space="preserve">ce to the approach being taken, and might often be </w:t>
      </w:r>
      <w:r w:rsidR="00362C68" w:rsidRPr="00C942D3">
        <w:rPr>
          <w:rFonts w:asciiTheme="minorHAnsi" w:hAnsiTheme="minorHAnsi" w:cs="Arial"/>
          <w:sz w:val="22"/>
          <w:szCs w:val="22"/>
        </w:rPr>
        <w:t xml:space="preserve">part of an ongoing dialogue or take place in stages. It is good practice to develop a communications and engagement plan to set out objectives and methods, and to provide regular communications to stakeholders throughout the commissioning activity. The public may be involved in different ways, for example in: </w:t>
      </w:r>
    </w:p>
    <w:p w:rsidR="00362C68" w:rsidRPr="00C942D3" w:rsidRDefault="00362C68" w:rsidP="00C942D3">
      <w:pPr>
        <w:pStyle w:val="Pa3"/>
        <w:numPr>
          <w:ilvl w:val="0"/>
          <w:numId w:val="12"/>
        </w:numPr>
        <w:spacing w:line="240" w:lineRule="auto"/>
        <w:rPr>
          <w:rFonts w:asciiTheme="minorHAnsi" w:hAnsiTheme="minorHAnsi" w:cs="Arial"/>
          <w:sz w:val="22"/>
          <w:szCs w:val="22"/>
        </w:rPr>
      </w:pPr>
      <w:r w:rsidRPr="00C942D3">
        <w:rPr>
          <w:rFonts w:asciiTheme="minorHAnsi" w:hAnsiTheme="minorHAnsi" w:cs="Arial"/>
          <w:sz w:val="22"/>
          <w:szCs w:val="22"/>
        </w:rPr>
        <w:t xml:space="preserve">designing the approach to engagement </w:t>
      </w:r>
    </w:p>
    <w:p w:rsidR="00362C68" w:rsidRPr="00C942D3" w:rsidRDefault="00362C68" w:rsidP="00C942D3">
      <w:pPr>
        <w:pStyle w:val="Pa3"/>
        <w:numPr>
          <w:ilvl w:val="0"/>
          <w:numId w:val="12"/>
        </w:numPr>
        <w:spacing w:line="240" w:lineRule="auto"/>
        <w:rPr>
          <w:rFonts w:asciiTheme="minorHAnsi" w:hAnsiTheme="minorHAnsi" w:cs="Arial"/>
          <w:sz w:val="22"/>
          <w:szCs w:val="22"/>
        </w:rPr>
      </w:pPr>
      <w:r w:rsidRPr="00C942D3">
        <w:rPr>
          <w:rFonts w:asciiTheme="minorHAnsi" w:hAnsiTheme="minorHAnsi" w:cs="Arial"/>
          <w:sz w:val="22"/>
          <w:szCs w:val="22"/>
        </w:rPr>
        <w:t>developing</w:t>
      </w:r>
      <w:r w:rsidR="00C95D3A" w:rsidRPr="00C942D3">
        <w:rPr>
          <w:rFonts w:asciiTheme="minorHAnsi" w:hAnsiTheme="minorHAnsi" w:cs="Arial"/>
          <w:sz w:val="22"/>
          <w:szCs w:val="22"/>
        </w:rPr>
        <w:t>/refining</w:t>
      </w:r>
      <w:r w:rsidRPr="00C942D3">
        <w:rPr>
          <w:rFonts w:asciiTheme="minorHAnsi" w:hAnsiTheme="minorHAnsi" w:cs="Arial"/>
          <w:sz w:val="22"/>
          <w:szCs w:val="22"/>
        </w:rPr>
        <w:t xml:space="preserve"> options </w:t>
      </w:r>
    </w:p>
    <w:p w:rsidR="00362C68" w:rsidRPr="00C942D3" w:rsidRDefault="00362C68" w:rsidP="00C942D3">
      <w:pPr>
        <w:pStyle w:val="Pa3"/>
        <w:numPr>
          <w:ilvl w:val="0"/>
          <w:numId w:val="12"/>
        </w:numPr>
        <w:spacing w:line="240" w:lineRule="auto"/>
        <w:rPr>
          <w:rFonts w:asciiTheme="minorHAnsi" w:hAnsiTheme="minorHAnsi" w:cs="Arial"/>
          <w:sz w:val="22"/>
          <w:szCs w:val="22"/>
        </w:rPr>
      </w:pPr>
      <w:r w:rsidRPr="00C942D3">
        <w:rPr>
          <w:rFonts w:asciiTheme="minorHAnsi" w:hAnsiTheme="minorHAnsi" w:cs="Arial"/>
          <w:sz w:val="22"/>
          <w:szCs w:val="22"/>
        </w:rPr>
        <w:t xml:space="preserve">formal consultation on a limited range of options </w:t>
      </w:r>
    </w:p>
    <w:p w:rsidR="00362C68" w:rsidRPr="00C942D3" w:rsidRDefault="00362C68" w:rsidP="00C942D3">
      <w:pPr>
        <w:pStyle w:val="Pa3"/>
        <w:numPr>
          <w:ilvl w:val="0"/>
          <w:numId w:val="12"/>
        </w:numPr>
        <w:spacing w:line="240" w:lineRule="auto"/>
        <w:rPr>
          <w:rFonts w:asciiTheme="minorHAnsi" w:hAnsiTheme="minorHAnsi" w:cs="Arial"/>
          <w:sz w:val="22"/>
          <w:szCs w:val="22"/>
        </w:rPr>
      </w:pPr>
      <w:proofErr w:type="gramStart"/>
      <w:r w:rsidRPr="00C942D3">
        <w:rPr>
          <w:rFonts w:asciiTheme="minorHAnsi" w:hAnsiTheme="minorHAnsi" w:cs="Arial"/>
          <w:sz w:val="22"/>
          <w:szCs w:val="22"/>
        </w:rPr>
        <w:t>being</w:t>
      </w:r>
      <w:proofErr w:type="gramEnd"/>
      <w:r w:rsidRPr="00C942D3">
        <w:rPr>
          <w:rFonts w:asciiTheme="minorHAnsi" w:hAnsiTheme="minorHAnsi" w:cs="Arial"/>
          <w:sz w:val="22"/>
          <w:szCs w:val="22"/>
        </w:rPr>
        <w:t xml:space="preserve"> informed about the outcome of the consultation and the decision taken. </w:t>
      </w:r>
    </w:p>
    <w:p w:rsidR="00362C68" w:rsidRPr="00C942D3" w:rsidRDefault="00C942D3" w:rsidP="00C942D3">
      <w:pPr>
        <w:pStyle w:val="Pa3"/>
        <w:spacing w:line="240" w:lineRule="auto"/>
        <w:rPr>
          <w:rFonts w:asciiTheme="minorHAnsi" w:hAnsiTheme="minorHAnsi" w:cs="Arial"/>
          <w:sz w:val="22"/>
          <w:szCs w:val="22"/>
        </w:rPr>
      </w:pPr>
      <w:r w:rsidRPr="00C942D3">
        <w:rPr>
          <w:rFonts w:asciiTheme="minorHAnsi" w:hAnsiTheme="minorHAnsi" w:cs="Arial"/>
          <w:sz w:val="22"/>
          <w:szCs w:val="22"/>
        </w:rPr>
        <w:t>It</w:t>
      </w:r>
      <w:r>
        <w:rPr>
          <w:rFonts w:asciiTheme="minorHAnsi" w:hAnsiTheme="minorHAnsi" w:cs="Arial"/>
          <w:sz w:val="22"/>
          <w:szCs w:val="22"/>
        </w:rPr>
        <w:t>’</w:t>
      </w:r>
      <w:r w:rsidRPr="00C942D3">
        <w:rPr>
          <w:rFonts w:asciiTheme="minorHAnsi" w:hAnsiTheme="minorHAnsi" w:cs="Arial"/>
          <w:sz w:val="22"/>
          <w:szCs w:val="22"/>
        </w:rPr>
        <w:t>s important to</w:t>
      </w:r>
      <w:r w:rsidR="00362C68" w:rsidRPr="00C942D3">
        <w:rPr>
          <w:rFonts w:asciiTheme="minorHAnsi" w:hAnsiTheme="minorHAnsi" w:cs="Arial"/>
          <w:sz w:val="22"/>
          <w:szCs w:val="22"/>
        </w:rPr>
        <w:t xml:space="preserve"> assess the effectiveness of public involvement throughout the commissioning process</w:t>
      </w:r>
      <w:r w:rsidRPr="00C942D3">
        <w:rPr>
          <w:rFonts w:asciiTheme="minorHAnsi" w:hAnsiTheme="minorHAnsi" w:cs="Arial"/>
          <w:sz w:val="22"/>
          <w:szCs w:val="22"/>
        </w:rPr>
        <w:t xml:space="preserve">, and address issues that arise, such as </w:t>
      </w:r>
    </w:p>
    <w:p w:rsidR="00362C68" w:rsidRPr="00C942D3" w:rsidRDefault="00362C68" w:rsidP="00C942D3">
      <w:pPr>
        <w:pStyle w:val="Pa3"/>
        <w:numPr>
          <w:ilvl w:val="0"/>
          <w:numId w:val="12"/>
        </w:numPr>
        <w:spacing w:line="240" w:lineRule="auto"/>
        <w:rPr>
          <w:rFonts w:asciiTheme="minorHAnsi" w:hAnsiTheme="minorHAnsi" w:cs="Arial"/>
          <w:sz w:val="22"/>
          <w:szCs w:val="22"/>
        </w:rPr>
      </w:pPr>
      <w:proofErr w:type="gramStart"/>
      <w:r w:rsidRPr="00C942D3">
        <w:rPr>
          <w:rFonts w:asciiTheme="minorHAnsi" w:hAnsiTheme="minorHAnsi" w:cs="Arial"/>
          <w:sz w:val="22"/>
          <w:szCs w:val="22"/>
        </w:rPr>
        <w:t>the</w:t>
      </w:r>
      <w:proofErr w:type="gramEnd"/>
      <w:r w:rsidRPr="00C942D3">
        <w:rPr>
          <w:rFonts w:asciiTheme="minorHAnsi" w:hAnsiTheme="minorHAnsi" w:cs="Arial"/>
          <w:sz w:val="22"/>
          <w:szCs w:val="22"/>
        </w:rPr>
        <w:t xml:space="preserve"> needs of a particular group (possibly with a shared protected characteristic) have not been adequately considered as part of the proposal. </w:t>
      </w:r>
    </w:p>
    <w:p w:rsidR="00362C68" w:rsidRPr="00C942D3" w:rsidRDefault="00362C68" w:rsidP="00C942D3">
      <w:pPr>
        <w:pStyle w:val="Pa3"/>
        <w:numPr>
          <w:ilvl w:val="0"/>
          <w:numId w:val="12"/>
        </w:numPr>
        <w:spacing w:line="240" w:lineRule="auto"/>
        <w:rPr>
          <w:rFonts w:asciiTheme="minorHAnsi" w:hAnsiTheme="minorHAnsi" w:cs="Arial"/>
          <w:sz w:val="22"/>
          <w:szCs w:val="22"/>
        </w:rPr>
      </w:pPr>
      <w:proofErr w:type="gramStart"/>
      <w:r w:rsidRPr="00C942D3">
        <w:rPr>
          <w:rFonts w:asciiTheme="minorHAnsi" w:hAnsiTheme="minorHAnsi" w:cs="Arial"/>
          <w:sz w:val="22"/>
          <w:szCs w:val="22"/>
        </w:rPr>
        <w:t>an</w:t>
      </w:r>
      <w:proofErr w:type="gramEnd"/>
      <w:r w:rsidRPr="00C942D3">
        <w:rPr>
          <w:rFonts w:asciiTheme="minorHAnsi" w:hAnsiTheme="minorHAnsi" w:cs="Arial"/>
          <w:sz w:val="22"/>
          <w:szCs w:val="22"/>
        </w:rPr>
        <w:t xml:space="preserve"> unexpectedly small response from a group that would be significantly affected by the proposal. </w:t>
      </w:r>
    </w:p>
    <w:p w:rsidR="00362C68" w:rsidRPr="00C942D3" w:rsidRDefault="00362C68" w:rsidP="00C942D3">
      <w:pPr>
        <w:pStyle w:val="Pa3"/>
        <w:numPr>
          <w:ilvl w:val="0"/>
          <w:numId w:val="12"/>
        </w:numPr>
        <w:spacing w:line="240" w:lineRule="auto"/>
        <w:rPr>
          <w:rFonts w:asciiTheme="minorHAnsi" w:hAnsiTheme="minorHAnsi" w:cs="Arial"/>
          <w:sz w:val="22"/>
          <w:szCs w:val="22"/>
        </w:rPr>
      </w:pPr>
      <w:r w:rsidRPr="00C942D3">
        <w:rPr>
          <w:rFonts w:asciiTheme="minorHAnsi" w:hAnsiTheme="minorHAnsi" w:cs="Arial"/>
          <w:sz w:val="22"/>
          <w:szCs w:val="22"/>
        </w:rPr>
        <w:t xml:space="preserve">Where a lot of feedback queries the same point, suggesting that it is has not been clearly conveyed or there was insufficient information. </w:t>
      </w:r>
    </w:p>
    <w:p w:rsidR="00362C68" w:rsidRPr="00C942D3" w:rsidRDefault="00362C68" w:rsidP="00C942D3">
      <w:pPr>
        <w:pStyle w:val="Pa3"/>
        <w:numPr>
          <w:ilvl w:val="0"/>
          <w:numId w:val="12"/>
        </w:numPr>
        <w:spacing w:line="240" w:lineRule="auto"/>
        <w:rPr>
          <w:rFonts w:asciiTheme="minorHAnsi" w:hAnsiTheme="minorHAnsi" w:cs="Arial"/>
          <w:sz w:val="22"/>
          <w:szCs w:val="22"/>
        </w:rPr>
      </w:pPr>
      <w:r w:rsidRPr="00C942D3">
        <w:rPr>
          <w:rFonts w:asciiTheme="minorHAnsi" w:hAnsiTheme="minorHAnsi" w:cs="Arial"/>
          <w:sz w:val="22"/>
          <w:szCs w:val="22"/>
        </w:rPr>
        <w:t xml:space="preserve">If the response to a consultation or attendance at public events has been poor. </w:t>
      </w:r>
    </w:p>
    <w:p w:rsidR="00362C68" w:rsidRPr="00C942D3" w:rsidRDefault="00362C68" w:rsidP="00C942D3">
      <w:pPr>
        <w:pStyle w:val="Default"/>
        <w:rPr>
          <w:rFonts w:asciiTheme="minorHAnsi" w:hAnsiTheme="minorHAnsi" w:cs="Arial"/>
          <w:color w:val="auto"/>
          <w:sz w:val="22"/>
          <w:szCs w:val="22"/>
        </w:rPr>
      </w:pPr>
    </w:p>
    <w:p w:rsidR="00362C68" w:rsidRPr="00C942D3" w:rsidRDefault="00C942D3" w:rsidP="00C942D3">
      <w:pPr>
        <w:pStyle w:val="Default"/>
        <w:rPr>
          <w:rFonts w:asciiTheme="minorHAnsi" w:hAnsiTheme="minorHAnsi" w:cs="Arial"/>
          <w:color w:val="auto"/>
          <w:sz w:val="22"/>
          <w:szCs w:val="22"/>
        </w:rPr>
      </w:pPr>
      <w:r w:rsidRPr="00C942D3">
        <w:rPr>
          <w:rFonts w:asciiTheme="minorHAnsi" w:hAnsiTheme="minorHAnsi" w:cs="Arial"/>
          <w:b/>
          <w:bCs/>
          <w:color w:val="auto"/>
          <w:sz w:val="22"/>
          <w:szCs w:val="22"/>
        </w:rPr>
        <w:t xml:space="preserve">7 </w:t>
      </w:r>
      <w:r w:rsidRPr="00C942D3">
        <w:rPr>
          <w:rFonts w:asciiTheme="minorHAnsi" w:hAnsiTheme="minorHAnsi" w:cs="Arial"/>
          <w:b/>
          <w:bCs/>
          <w:color w:val="auto"/>
          <w:sz w:val="22"/>
          <w:szCs w:val="22"/>
        </w:rPr>
        <w:tab/>
        <w:t xml:space="preserve">Urgent decisions </w:t>
      </w:r>
    </w:p>
    <w:p w:rsidR="00362C68" w:rsidRPr="00C942D3" w:rsidRDefault="00362C68" w:rsidP="00C942D3">
      <w:pPr>
        <w:pStyle w:val="Pa3"/>
        <w:spacing w:line="240" w:lineRule="auto"/>
        <w:rPr>
          <w:rFonts w:asciiTheme="minorHAnsi" w:hAnsiTheme="minorHAnsi" w:cs="Arial"/>
          <w:sz w:val="22"/>
          <w:szCs w:val="22"/>
        </w:rPr>
      </w:pPr>
      <w:r w:rsidRPr="00C942D3">
        <w:rPr>
          <w:rFonts w:asciiTheme="minorHAnsi" w:hAnsiTheme="minorHAnsi" w:cs="Arial"/>
          <w:sz w:val="22"/>
          <w:szCs w:val="22"/>
        </w:rPr>
        <w:t xml:space="preserve">In an urgent situation, </w:t>
      </w:r>
      <w:r w:rsidR="003A7BF2">
        <w:rPr>
          <w:rFonts w:asciiTheme="minorHAnsi" w:hAnsiTheme="minorHAnsi" w:cs="Arial"/>
          <w:sz w:val="22"/>
          <w:szCs w:val="22"/>
        </w:rPr>
        <w:t>we should</w:t>
      </w:r>
      <w:r w:rsidRPr="00C942D3">
        <w:rPr>
          <w:rFonts w:asciiTheme="minorHAnsi" w:hAnsiTheme="minorHAnsi" w:cs="Arial"/>
          <w:sz w:val="22"/>
          <w:szCs w:val="22"/>
        </w:rPr>
        <w:t xml:space="preserve"> consider the duty to involve the public alongside the public interest in maintaining continuity of care and protecting the health, safety or welfare of patients or staff. It will only be reasonable to justify carrying out a limited (or no) public involvement exercise on grounds of urgency when the lack of time was genuinely caused by an urgent development or where there is a genuine risk to the health, safety or welfare of patients or staff. It does not permit </w:t>
      </w:r>
      <w:r w:rsidR="00C942D3" w:rsidRPr="00C942D3">
        <w:rPr>
          <w:rFonts w:asciiTheme="minorHAnsi" w:hAnsiTheme="minorHAnsi" w:cs="Arial"/>
          <w:sz w:val="22"/>
          <w:szCs w:val="22"/>
        </w:rPr>
        <w:t xml:space="preserve">us </w:t>
      </w:r>
      <w:r w:rsidRPr="00C942D3">
        <w:rPr>
          <w:rFonts w:asciiTheme="minorHAnsi" w:hAnsiTheme="minorHAnsi" w:cs="Arial"/>
          <w:sz w:val="22"/>
          <w:szCs w:val="22"/>
        </w:rPr>
        <w:t>to leave public involvement until the last moment without enough time to carry out a fair and proportionate exercise, when the public could and should have been involved earlier or to a greater extent.</w:t>
      </w:r>
    </w:p>
    <w:p w:rsidR="00362C68" w:rsidRDefault="00362C68" w:rsidP="00362C68">
      <w:pPr>
        <w:pStyle w:val="Default"/>
      </w:pPr>
    </w:p>
    <w:sectPr w:rsidR="00362C68" w:rsidSect="00B40A1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85" w:rsidRDefault="007A3D85" w:rsidP="00E53B63">
      <w:pPr>
        <w:spacing w:after="0" w:line="240" w:lineRule="auto"/>
      </w:pPr>
      <w:r>
        <w:separator/>
      </w:r>
    </w:p>
  </w:endnote>
  <w:endnote w:type="continuationSeparator" w:id="0">
    <w:p w:rsidR="007A3D85" w:rsidRDefault="007A3D85" w:rsidP="00E5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276474"/>
      <w:docPartObj>
        <w:docPartGallery w:val="Page Numbers (Bottom of Page)"/>
        <w:docPartUnique/>
      </w:docPartObj>
    </w:sdtPr>
    <w:sdtEndPr>
      <w:rPr>
        <w:noProof/>
      </w:rPr>
    </w:sdtEndPr>
    <w:sdtContent>
      <w:p w:rsidR="00E53B63" w:rsidRDefault="00E53B63">
        <w:pPr>
          <w:pStyle w:val="Footer"/>
          <w:jc w:val="center"/>
        </w:pPr>
        <w:r>
          <w:fldChar w:fldCharType="begin"/>
        </w:r>
        <w:r>
          <w:instrText xml:space="preserve"> PAGE   \* MERGEFORMAT </w:instrText>
        </w:r>
        <w:r>
          <w:fldChar w:fldCharType="separate"/>
        </w:r>
        <w:r w:rsidR="006D6C84">
          <w:rPr>
            <w:noProof/>
          </w:rPr>
          <w:t>1</w:t>
        </w:r>
        <w:r>
          <w:rPr>
            <w:noProof/>
          </w:rPr>
          <w:fldChar w:fldCharType="end"/>
        </w:r>
      </w:p>
    </w:sdtContent>
  </w:sdt>
  <w:p w:rsidR="00E53B63" w:rsidRDefault="00E53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85" w:rsidRDefault="007A3D85" w:rsidP="00E53B63">
      <w:pPr>
        <w:spacing w:after="0" w:line="240" w:lineRule="auto"/>
      </w:pPr>
      <w:r>
        <w:separator/>
      </w:r>
    </w:p>
  </w:footnote>
  <w:footnote w:type="continuationSeparator" w:id="0">
    <w:p w:rsidR="007A3D85" w:rsidRDefault="007A3D85" w:rsidP="00E53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543"/>
    <w:multiLevelType w:val="hybridMultilevel"/>
    <w:tmpl w:val="AA225C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1615EAC"/>
    <w:multiLevelType w:val="hybridMultilevel"/>
    <w:tmpl w:val="4CAE42AA"/>
    <w:lvl w:ilvl="0" w:tplc="08090001">
      <w:start w:val="1"/>
      <w:numFmt w:val="bullet"/>
      <w:lvlText w:val=""/>
      <w:lvlJc w:val="left"/>
      <w:pPr>
        <w:ind w:left="1080" w:hanging="360"/>
      </w:pPr>
      <w:rPr>
        <w:rFonts w:ascii="Symbol" w:hAnsi="Symbo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B971D59"/>
    <w:multiLevelType w:val="hybridMultilevel"/>
    <w:tmpl w:val="18E2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091258"/>
    <w:multiLevelType w:val="hybridMultilevel"/>
    <w:tmpl w:val="ECCE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30905"/>
    <w:multiLevelType w:val="hybridMultilevel"/>
    <w:tmpl w:val="62F6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AF49CA"/>
    <w:multiLevelType w:val="hybridMultilevel"/>
    <w:tmpl w:val="0652DAAE"/>
    <w:lvl w:ilvl="0" w:tplc="E5BE66D4">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31D643B"/>
    <w:multiLevelType w:val="hybridMultilevel"/>
    <w:tmpl w:val="E50A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C108D7"/>
    <w:multiLevelType w:val="hybridMultilevel"/>
    <w:tmpl w:val="A9DC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945A9C"/>
    <w:multiLevelType w:val="hybridMultilevel"/>
    <w:tmpl w:val="C528057A"/>
    <w:lvl w:ilvl="0" w:tplc="E5BE66D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002835"/>
    <w:multiLevelType w:val="hybridMultilevel"/>
    <w:tmpl w:val="78E4335A"/>
    <w:lvl w:ilvl="0" w:tplc="EACC5A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0B7CA6"/>
    <w:multiLevelType w:val="hybridMultilevel"/>
    <w:tmpl w:val="71EA81E6"/>
    <w:lvl w:ilvl="0" w:tplc="EACC5AA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F486537"/>
    <w:multiLevelType w:val="hybridMultilevel"/>
    <w:tmpl w:val="F86E25F4"/>
    <w:lvl w:ilvl="0" w:tplc="EACC5A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DA5452"/>
    <w:multiLevelType w:val="hybridMultilevel"/>
    <w:tmpl w:val="DDE05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11"/>
  </w:num>
  <w:num w:numId="5">
    <w:abstractNumId w:val="7"/>
  </w:num>
  <w:num w:numId="6">
    <w:abstractNumId w:val="10"/>
  </w:num>
  <w:num w:numId="7">
    <w:abstractNumId w:val="9"/>
  </w:num>
  <w:num w:numId="8">
    <w:abstractNumId w:val="1"/>
  </w:num>
  <w:num w:numId="9">
    <w:abstractNumId w:val="6"/>
  </w:num>
  <w:num w:numId="10">
    <w:abstractNumId w:val="4"/>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8C"/>
    <w:rsid w:val="00313F94"/>
    <w:rsid w:val="00362C68"/>
    <w:rsid w:val="003A7BF2"/>
    <w:rsid w:val="00502D8E"/>
    <w:rsid w:val="00556A4F"/>
    <w:rsid w:val="005714B1"/>
    <w:rsid w:val="005E088C"/>
    <w:rsid w:val="00605072"/>
    <w:rsid w:val="00625F56"/>
    <w:rsid w:val="006D6C84"/>
    <w:rsid w:val="006F1C20"/>
    <w:rsid w:val="007A3D85"/>
    <w:rsid w:val="007C5438"/>
    <w:rsid w:val="00820C1A"/>
    <w:rsid w:val="008623CA"/>
    <w:rsid w:val="008E0494"/>
    <w:rsid w:val="00903E70"/>
    <w:rsid w:val="00B40A1A"/>
    <w:rsid w:val="00B723E5"/>
    <w:rsid w:val="00C942D3"/>
    <w:rsid w:val="00C95D3A"/>
    <w:rsid w:val="00D17514"/>
    <w:rsid w:val="00D51DE8"/>
    <w:rsid w:val="00DB7268"/>
    <w:rsid w:val="00E53B63"/>
    <w:rsid w:val="00EC3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38"/>
    <w:pPr>
      <w:ind w:left="720"/>
      <w:contextualSpacing/>
    </w:pPr>
  </w:style>
  <w:style w:type="table" w:styleId="TableGrid">
    <w:name w:val="Table Grid"/>
    <w:basedOn w:val="TableNormal"/>
    <w:uiPriority w:val="59"/>
    <w:rsid w:val="007C5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3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B63"/>
  </w:style>
  <w:style w:type="paragraph" w:styleId="Footer">
    <w:name w:val="footer"/>
    <w:basedOn w:val="Normal"/>
    <w:link w:val="FooterChar"/>
    <w:uiPriority w:val="99"/>
    <w:unhideWhenUsed/>
    <w:rsid w:val="00E53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B63"/>
  </w:style>
  <w:style w:type="paragraph" w:customStyle="1" w:styleId="Default">
    <w:name w:val="Default"/>
    <w:rsid w:val="00362C68"/>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3">
    <w:name w:val="Pa3"/>
    <w:basedOn w:val="Default"/>
    <w:next w:val="Default"/>
    <w:uiPriority w:val="99"/>
    <w:rsid w:val="00362C68"/>
    <w:pPr>
      <w:spacing w:line="241" w:lineRule="atLeast"/>
    </w:pPr>
    <w:rPr>
      <w:rFonts w:cstheme="minorBidi"/>
      <w:color w:val="auto"/>
    </w:rPr>
  </w:style>
  <w:style w:type="character" w:customStyle="1" w:styleId="A6">
    <w:name w:val="A6"/>
    <w:uiPriority w:val="99"/>
    <w:rsid w:val="00362C68"/>
    <w:rPr>
      <w:rFonts w:cs="Frutiger 45 Light"/>
      <w:color w:val="000000"/>
      <w:u w:val="single"/>
    </w:rPr>
  </w:style>
  <w:style w:type="paragraph" w:customStyle="1" w:styleId="Pa2">
    <w:name w:val="Pa2"/>
    <w:basedOn w:val="Default"/>
    <w:next w:val="Default"/>
    <w:uiPriority w:val="99"/>
    <w:rsid w:val="00362C68"/>
    <w:pPr>
      <w:spacing w:line="241" w:lineRule="atLeast"/>
    </w:pPr>
    <w:rPr>
      <w:rFonts w:cstheme="minorBidi"/>
      <w:color w:val="auto"/>
    </w:rPr>
  </w:style>
  <w:style w:type="paragraph" w:customStyle="1" w:styleId="Pa15">
    <w:name w:val="Pa15"/>
    <w:basedOn w:val="Default"/>
    <w:next w:val="Default"/>
    <w:uiPriority w:val="99"/>
    <w:rsid w:val="00362C68"/>
    <w:pPr>
      <w:spacing w:line="241" w:lineRule="atLeast"/>
    </w:pPr>
    <w:rPr>
      <w:rFonts w:cstheme="minorBidi"/>
      <w:color w:val="auto"/>
    </w:rPr>
  </w:style>
  <w:style w:type="paragraph" w:customStyle="1" w:styleId="Pa13">
    <w:name w:val="Pa13"/>
    <w:basedOn w:val="Default"/>
    <w:next w:val="Default"/>
    <w:uiPriority w:val="99"/>
    <w:rsid w:val="00362C68"/>
    <w:pPr>
      <w:spacing w:line="481" w:lineRule="atLeast"/>
    </w:pPr>
    <w:rPr>
      <w:rFonts w:cstheme="minorBidi"/>
      <w:color w:val="auto"/>
    </w:rPr>
  </w:style>
  <w:style w:type="paragraph" w:customStyle="1" w:styleId="Pa5">
    <w:name w:val="Pa5"/>
    <w:basedOn w:val="Default"/>
    <w:next w:val="Default"/>
    <w:uiPriority w:val="99"/>
    <w:rsid w:val="00362C68"/>
    <w:pPr>
      <w:spacing w:line="621" w:lineRule="atLeast"/>
    </w:pPr>
    <w:rPr>
      <w:rFonts w:cstheme="minorBidi"/>
      <w:color w:val="auto"/>
    </w:rPr>
  </w:style>
  <w:style w:type="character" w:styleId="Hyperlink">
    <w:name w:val="Hyperlink"/>
    <w:basedOn w:val="DefaultParagraphFont"/>
    <w:uiPriority w:val="99"/>
    <w:unhideWhenUsed/>
    <w:rsid w:val="005714B1"/>
    <w:rPr>
      <w:color w:val="0000FF" w:themeColor="hyperlink"/>
      <w:u w:val="single"/>
    </w:rPr>
  </w:style>
  <w:style w:type="character" w:styleId="FollowedHyperlink">
    <w:name w:val="FollowedHyperlink"/>
    <w:basedOn w:val="DefaultParagraphFont"/>
    <w:uiPriority w:val="99"/>
    <w:semiHidden/>
    <w:unhideWhenUsed/>
    <w:rsid w:val="005714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38"/>
    <w:pPr>
      <w:ind w:left="720"/>
      <w:contextualSpacing/>
    </w:pPr>
  </w:style>
  <w:style w:type="table" w:styleId="TableGrid">
    <w:name w:val="Table Grid"/>
    <w:basedOn w:val="TableNormal"/>
    <w:uiPriority w:val="59"/>
    <w:rsid w:val="007C5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3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B63"/>
  </w:style>
  <w:style w:type="paragraph" w:styleId="Footer">
    <w:name w:val="footer"/>
    <w:basedOn w:val="Normal"/>
    <w:link w:val="FooterChar"/>
    <w:uiPriority w:val="99"/>
    <w:unhideWhenUsed/>
    <w:rsid w:val="00E53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B63"/>
  </w:style>
  <w:style w:type="paragraph" w:customStyle="1" w:styleId="Default">
    <w:name w:val="Default"/>
    <w:rsid w:val="00362C68"/>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3">
    <w:name w:val="Pa3"/>
    <w:basedOn w:val="Default"/>
    <w:next w:val="Default"/>
    <w:uiPriority w:val="99"/>
    <w:rsid w:val="00362C68"/>
    <w:pPr>
      <w:spacing w:line="241" w:lineRule="atLeast"/>
    </w:pPr>
    <w:rPr>
      <w:rFonts w:cstheme="minorBidi"/>
      <w:color w:val="auto"/>
    </w:rPr>
  </w:style>
  <w:style w:type="character" w:customStyle="1" w:styleId="A6">
    <w:name w:val="A6"/>
    <w:uiPriority w:val="99"/>
    <w:rsid w:val="00362C68"/>
    <w:rPr>
      <w:rFonts w:cs="Frutiger 45 Light"/>
      <w:color w:val="000000"/>
      <w:u w:val="single"/>
    </w:rPr>
  </w:style>
  <w:style w:type="paragraph" w:customStyle="1" w:styleId="Pa2">
    <w:name w:val="Pa2"/>
    <w:basedOn w:val="Default"/>
    <w:next w:val="Default"/>
    <w:uiPriority w:val="99"/>
    <w:rsid w:val="00362C68"/>
    <w:pPr>
      <w:spacing w:line="241" w:lineRule="atLeast"/>
    </w:pPr>
    <w:rPr>
      <w:rFonts w:cstheme="minorBidi"/>
      <w:color w:val="auto"/>
    </w:rPr>
  </w:style>
  <w:style w:type="paragraph" w:customStyle="1" w:styleId="Pa15">
    <w:name w:val="Pa15"/>
    <w:basedOn w:val="Default"/>
    <w:next w:val="Default"/>
    <w:uiPriority w:val="99"/>
    <w:rsid w:val="00362C68"/>
    <w:pPr>
      <w:spacing w:line="241" w:lineRule="atLeast"/>
    </w:pPr>
    <w:rPr>
      <w:rFonts w:cstheme="minorBidi"/>
      <w:color w:val="auto"/>
    </w:rPr>
  </w:style>
  <w:style w:type="paragraph" w:customStyle="1" w:styleId="Pa13">
    <w:name w:val="Pa13"/>
    <w:basedOn w:val="Default"/>
    <w:next w:val="Default"/>
    <w:uiPriority w:val="99"/>
    <w:rsid w:val="00362C68"/>
    <w:pPr>
      <w:spacing w:line="481" w:lineRule="atLeast"/>
    </w:pPr>
    <w:rPr>
      <w:rFonts w:cstheme="minorBidi"/>
      <w:color w:val="auto"/>
    </w:rPr>
  </w:style>
  <w:style w:type="paragraph" w:customStyle="1" w:styleId="Pa5">
    <w:name w:val="Pa5"/>
    <w:basedOn w:val="Default"/>
    <w:next w:val="Default"/>
    <w:uiPriority w:val="99"/>
    <w:rsid w:val="00362C68"/>
    <w:pPr>
      <w:spacing w:line="621" w:lineRule="atLeast"/>
    </w:pPr>
    <w:rPr>
      <w:rFonts w:cstheme="minorBidi"/>
      <w:color w:val="auto"/>
    </w:rPr>
  </w:style>
  <w:style w:type="character" w:styleId="Hyperlink">
    <w:name w:val="Hyperlink"/>
    <w:basedOn w:val="DefaultParagraphFont"/>
    <w:uiPriority w:val="99"/>
    <w:unhideWhenUsed/>
    <w:rsid w:val="005714B1"/>
    <w:rPr>
      <w:color w:val="0000FF" w:themeColor="hyperlink"/>
      <w:u w:val="single"/>
    </w:rPr>
  </w:style>
  <w:style w:type="character" w:styleId="FollowedHyperlink">
    <w:name w:val="FollowedHyperlink"/>
    <w:basedOn w:val="DefaultParagraphFont"/>
    <w:uiPriority w:val="99"/>
    <w:semiHidden/>
    <w:unhideWhenUsed/>
    <w:rsid w:val="005714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articip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etworks.nhs.uk/nhs-networks/smart-guides" TargetMode="External"/><Relationship Id="rId5" Type="http://schemas.openxmlformats.org/officeDocument/2006/relationships/webSettings" Target="webSettings.xml"/><Relationship Id="rId10" Type="http://schemas.openxmlformats.org/officeDocument/2006/relationships/hyperlink" Target="https://www.networks.nhs.uk/nhs-networks/smart-guides" TargetMode="External"/><Relationship Id="rId4" Type="http://schemas.openxmlformats.org/officeDocument/2006/relationships/settings" Target="settings.xml"/><Relationship Id="rId9" Type="http://schemas.openxmlformats.org/officeDocument/2006/relationships/hyperlink" Target="https://www.networks.nhs.uk/nhs-networks/smart-guid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2019-09-13T13:32:00Z</dcterms:created>
  <dcterms:modified xsi:type="dcterms:W3CDTF">2019-09-13T13:32:00Z</dcterms:modified>
</cp:coreProperties>
</file>